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06A5A37E" w:rsidR="0074405B" w:rsidRPr="003B1033" w:rsidRDefault="007A068F" w:rsidP="0074405B">
      <w:pPr>
        <w:pStyle w:val="3GPPHeader"/>
        <w:spacing w:after="60"/>
        <w:rPr>
          <w:sz w:val="32"/>
          <w:szCs w:val="32"/>
        </w:rPr>
      </w:pPr>
      <w:r w:rsidRPr="00814E0B">
        <w:t>3GPP TSG</w:t>
      </w:r>
      <w:r w:rsidR="00CF3B71" w:rsidRPr="00814E0B">
        <w:t>-</w:t>
      </w:r>
      <w:r w:rsidRPr="00814E0B">
        <w:t>RAN WG</w:t>
      </w:r>
      <w:r w:rsidR="00E44362" w:rsidRPr="00814E0B">
        <w:t>2</w:t>
      </w:r>
      <w:r w:rsidRPr="00814E0B">
        <w:t xml:space="preserve"> </w:t>
      </w:r>
      <w:r w:rsidR="00C41F6C" w:rsidRPr="00814E0B">
        <w:t>#</w:t>
      </w:r>
      <w:r w:rsidR="00D0571A" w:rsidRPr="00814E0B">
        <w:t>10</w:t>
      </w:r>
      <w:r w:rsidR="004C3B48">
        <w:t>2</w:t>
      </w:r>
      <w:r w:rsidR="0074405B" w:rsidRPr="003B1033">
        <w:tab/>
      </w:r>
      <w:r w:rsidR="007E4B22" w:rsidRPr="004F5A37">
        <w:rPr>
          <w:szCs w:val="24"/>
        </w:rPr>
        <w:t>R</w:t>
      </w:r>
      <w:r w:rsidR="00E44362" w:rsidRPr="004F5A37">
        <w:rPr>
          <w:szCs w:val="24"/>
        </w:rPr>
        <w:t>2</w:t>
      </w:r>
      <w:r w:rsidR="00D70E73" w:rsidRPr="004F5A37">
        <w:rPr>
          <w:szCs w:val="24"/>
        </w:rPr>
        <w:t>-</w:t>
      </w:r>
      <w:r w:rsidR="004F5A37" w:rsidRPr="004F5A37">
        <w:rPr>
          <w:szCs w:val="24"/>
        </w:rPr>
        <w:t>1806817</w:t>
      </w:r>
    </w:p>
    <w:p w14:paraId="475EAA52" w14:textId="2D12F826" w:rsidR="00814E0B" w:rsidRPr="00CA0BEC" w:rsidRDefault="004C3B48" w:rsidP="00814E0B">
      <w:pPr>
        <w:pStyle w:val="CRCoverPage"/>
        <w:tabs>
          <w:tab w:val="left" w:pos="1985"/>
        </w:tabs>
        <w:rPr>
          <w:rFonts w:cs="Arial"/>
          <w:b/>
          <w:bCs/>
          <w:sz w:val="24"/>
          <w:szCs w:val="24"/>
          <w:lang w:val="es-ES"/>
        </w:rPr>
      </w:pPr>
      <w:r>
        <w:rPr>
          <w:rFonts w:cs="Arial"/>
          <w:b/>
          <w:bCs/>
          <w:sz w:val="24"/>
          <w:szCs w:val="24"/>
          <w:lang w:val="es-ES"/>
        </w:rPr>
        <w:t>Busan</w:t>
      </w:r>
      <w:r w:rsidR="00814E0B" w:rsidRPr="00CA0BEC">
        <w:rPr>
          <w:rFonts w:cs="Arial"/>
          <w:b/>
          <w:bCs/>
          <w:sz w:val="24"/>
          <w:szCs w:val="24"/>
          <w:lang w:val="es-ES"/>
        </w:rPr>
        <w:t xml:space="preserve">, </w:t>
      </w:r>
      <w:r w:rsidR="001B440C" w:rsidRPr="001B440C">
        <w:rPr>
          <w:rFonts w:cs="Arial"/>
          <w:b/>
          <w:bCs/>
          <w:sz w:val="24"/>
          <w:szCs w:val="24"/>
          <w:lang w:val="es-ES"/>
        </w:rPr>
        <w:t>Republic of Korea</w:t>
      </w:r>
      <w:r w:rsidR="00814E0B" w:rsidRPr="00CA0BEC">
        <w:rPr>
          <w:rFonts w:cs="Arial"/>
          <w:b/>
          <w:bCs/>
          <w:sz w:val="24"/>
          <w:szCs w:val="24"/>
          <w:lang w:val="es-ES"/>
        </w:rPr>
        <w:t xml:space="preserve">, </w:t>
      </w:r>
      <w:r>
        <w:rPr>
          <w:rFonts w:cs="Arial"/>
          <w:b/>
          <w:bCs/>
          <w:sz w:val="24"/>
          <w:szCs w:val="24"/>
          <w:lang w:val="es-ES"/>
        </w:rPr>
        <w:t>21</w:t>
      </w:r>
      <w:r w:rsidR="00814E0B" w:rsidRPr="00CA0BEC">
        <w:rPr>
          <w:rFonts w:cs="Arial"/>
          <w:b/>
          <w:bCs/>
          <w:sz w:val="24"/>
          <w:szCs w:val="24"/>
          <w:lang w:val="es-ES"/>
        </w:rPr>
        <w:t>-2</w:t>
      </w:r>
      <w:r>
        <w:rPr>
          <w:rFonts w:cs="Arial"/>
          <w:b/>
          <w:bCs/>
          <w:sz w:val="24"/>
          <w:szCs w:val="24"/>
          <w:lang w:val="es-ES"/>
        </w:rPr>
        <w:t>5</w:t>
      </w:r>
      <w:r w:rsidR="00814E0B" w:rsidRPr="00CA0BEC">
        <w:rPr>
          <w:rFonts w:cs="Arial"/>
          <w:b/>
          <w:bCs/>
          <w:sz w:val="24"/>
          <w:szCs w:val="24"/>
          <w:lang w:val="es-ES"/>
        </w:rPr>
        <w:t xml:space="preserve"> </w:t>
      </w:r>
      <w:r>
        <w:rPr>
          <w:rFonts w:cs="Arial"/>
          <w:b/>
          <w:bCs/>
          <w:sz w:val="24"/>
          <w:szCs w:val="24"/>
          <w:lang w:val="es-ES"/>
        </w:rPr>
        <w:t>May</w:t>
      </w:r>
      <w:r w:rsidR="00814E0B" w:rsidRPr="00CA0BEC">
        <w:rPr>
          <w:rFonts w:cs="Arial"/>
          <w:b/>
          <w:bCs/>
          <w:sz w:val="24"/>
          <w:szCs w:val="24"/>
          <w:lang w:val="es-ES"/>
        </w:rPr>
        <w:t xml:space="preserve"> 2018</w:t>
      </w:r>
    </w:p>
    <w:p w14:paraId="4F7BE4AA" w14:textId="77777777" w:rsidR="007A068F" w:rsidRPr="00814E0B" w:rsidRDefault="007A068F" w:rsidP="00311702">
      <w:pPr>
        <w:pStyle w:val="3GPPHeader"/>
        <w:rPr>
          <w:sz w:val="22"/>
          <w:szCs w:val="22"/>
          <w:lang w:val="es-ES"/>
        </w:rPr>
      </w:pPr>
    </w:p>
    <w:p w14:paraId="5F00202D" w14:textId="5551AB73" w:rsidR="00E90E49" w:rsidRPr="003B1033" w:rsidRDefault="00E90E49" w:rsidP="00311702">
      <w:pPr>
        <w:pStyle w:val="3GPPHeader"/>
        <w:rPr>
          <w:sz w:val="22"/>
          <w:szCs w:val="22"/>
          <w:lang w:val="en-US"/>
        </w:rPr>
      </w:pPr>
      <w:r w:rsidRPr="003B1033">
        <w:rPr>
          <w:sz w:val="22"/>
          <w:szCs w:val="22"/>
          <w:lang w:val="en-US"/>
        </w:rPr>
        <w:t>Agenda Item:</w:t>
      </w:r>
      <w:r w:rsidRPr="003B1033">
        <w:rPr>
          <w:sz w:val="22"/>
          <w:szCs w:val="22"/>
          <w:lang w:val="en-US"/>
        </w:rPr>
        <w:tab/>
      </w:r>
      <w:r w:rsidR="00D836A1" w:rsidRPr="00B61C37">
        <w:rPr>
          <w:sz w:val="22"/>
          <w:szCs w:val="22"/>
          <w:lang w:val="en-US"/>
        </w:rPr>
        <w:t>11.1</w:t>
      </w:r>
      <w:r w:rsidR="0007619A">
        <w:rPr>
          <w:sz w:val="22"/>
          <w:szCs w:val="22"/>
          <w:lang w:val="en-US"/>
        </w:rPr>
        <w:t>.3</w:t>
      </w:r>
    </w:p>
    <w:p w14:paraId="22DF570F" w14:textId="77777777" w:rsidR="00E90E49" w:rsidRPr="003B1033" w:rsidRDefault="003D3C45" w:rsidP="00F64C2B">
      <w:pPr>
        <w:pStyle w:val="3GPPHeader"/>
        <w:rPr>
          <w:sz w:val="22"/>
          <w:szCs w:val="22"/>
        </w:rPr>
      </w:pPr>
      <w:r w:rsidRPr="003B1033">
        <w:rPr>
          <w:sz w:val="22"/>
          <w:szCs w:val="22"/>
        </w:rPr>
        <w:t>Source:</w:t>
      </w:r>
      <w:r w:rsidR="00E90E49" w:rsidRPr="003B1033">
        <w:rPr>
          <w:sz w:val="22"/>
          <w:szCs w:val="22"/>
        </w:rPr>
        <w:tab/>
      </w:r>
      <w:r w:rsidR="00F64C2B" w:rsidRPr="003B1033">
        <w:rPr>
          <w:sz w:val="22"/>
          <w:szCs w:val="22"/>
        </w:rPr>
        <w:t>Ericsson</w:t>
      </w:r>
    </w:p>
    <w:p w14:paraId="6D1BA5D3" w14:textId="77777777" w:rsidR="00E90E49" w:rsidRPr="003B1033" w:rsidRDefault="003D3C45" w:rsidP="00311702">
      <w:pPr>
        <w:pStyle w:val="3GPPHeader"/>
        <w:rPr>
          <w:sz w:val="22"/>
          <w:szCs w:val="22"/>
        </w:rPr>
      </w:pPr>
      <w:r w:rsidRPr="003B1033">
        <w:rPr>
          <w:sz w:val="22"/>
          <w:szCs w:val="22"/>
        </w:rPr>
        <w:t>Title:</w:t>
      </w:r>
      <w:r w:rsidR="00E90E49" w:rsidRPr="003B1033">
        <w:rPr>
          <w:sz w:val="22"/>
          <w:szCs w:val="22"/>
        </w:rPr>
        <w:tab/>
      </w:r>
      <w:r w:rsidR="00715BF1" w:rsidRPr="003B1033">
        <w:rPr>
          <w:sz w:val="22"/>
          <w:szCs w:val="22"/>
        </w:rPr>
        <w:t>Setup procedures for IAB-node and a UE connected to an IAB node</w:t>
      </w:r>
      <w:r w:rsidR="001051DE" w:rsidRPr="003B1033">
        <w:rPr>
          <w:sz w:val="22"/>
          <w:szCs w:val="22"/>
        </w:rPr>
        <w:t xml:space="preserve"> </w:t>
      </w:r>
    </w:p>
    <w:p w14:paraId="58B58583" w14:textId="77777777" w:rsidR="00E90E49" w:rsidRPr="003B1033" w:rsidRDefault="00E90E49" w:rsidP="00D546FF">
      <w:pPr>
        <w:pStyle w:val="3GPPHeader"/>
        <w:rPr>
          <w:sz w:val="22"/>
          <w:szCs w:val="22"/>
        </w:rPr>
      </w:pPr>
      <w:r w:rsidRPr="003B1033">
        <w:rPr>
          <w:sz w:val="22"/>
          <w:szCs w:val="22"/>
        </w:rPr>
        <w:t>Document for:</w:t>
      </w:r>
      <w:r w:rsidRPr="003B1033">
        <w:rPr>
          <w:sz w:val="22"/>
          <w:szCs w:val="22"/>
        </w:rPr>
        <w:tab/>
      </w:r>
      <w:r w:rsidR="00715BF1" w:rsidRPr="003B1033">
        <w:rPr>
          <w:sz w:val="22"/>
          <w:szCs w:val="22"/>
        </w:rPr>
        <w:t>Discussion</w:t>
      </w:r>
      <w:r w:rsidR="000054DE" w:rsidRPr="003B1033">
        <w:rPr>
          <w:sz w:val="22"/>
          <w:szCs w:val="22"/>
        </w:rPr>
        <w:t>, Decision</w:t>
      </w:r>
    </w:p>
    <w:p w14:paraId="46CFE827" w14:textId="77777777" w:rsidR="00E90E49" w:rsidRPr="003B1033" w:rsidRDefault="00E90E49" w:rsidP="00E90E49"/>
    <w:p w14:paraId="3109F9C9" w14:textId="77777777" w:rsidR="00E90E49" w:rsidRPr="003B1033" w:rsidRDefault="00E90E49" w:rsidP="00CE0424">
      <w:pPr>
        <w:pStyle w:val="Heading1"/>
      </w:pPr>
      <w:r w:rsidRPr="003B1033">
        <w:t>Introduction</w:t>
      </w:r>
      <w:bookmarkStart w:id="0" w:name="_GoBack"/>
      <w:bookmarkEnd w:id="0"/>
    </w:p>
    <w:p w14:paraId="6A8B5337" w14:textId="32607E58" w:rsidR="00A9131A" w:rsidRPr="003B1033" w:rsidRDefault="00A9131A" w:rsidP="003E36CC">
      <w:r w:rsidRPr="003B1033">
        <w:t>The IAB study item has started</w:t>
      </w:r>
      <w:r w:rsidR="006241A2" w:rsidRPr="003B1033">
        <w:t xml:space="preserve"> in 3GPP</w:t>
      </w:r>
      <w:r w:rsidR="005E5137" w:rsidRPr="003B1033">
        <w:t xml:space="preserve"> </w:t>
      </w:r>
      <w:r w:rsidR="006241A2" w:rsidRPr="003B1033">
        <w:t xml:space="preserve">RAN2-AH-1801. </w:t>
      </w:r>
      <w:r w:rsidR="00B313FC" w:rsidRPr="003B1033">
        <w:t xml:space="preserve">According to the agreements made in </w:t>
      </w:r>
      <w:r w:rsidR="00F92914" w:rsidRPr="003B1033">
        <w:t xml:space="preserve">the </w:t>
      </w:r>
      <w:r w:rsidR="00B313FC" w:rsidRPr="003B1033">
        <w:t>last RAN2 meeting, t</w:t>
      </w:r>
      <w:r w:rsidR="006241A2" w:rsidRPr="003B1033">
        <w:t xml:space="preserve">he study item </w:t>
      </w:r>
      <w:r w:rsidR="00FC7100" w:rsidRPr="003B1033">
        <w:t xml:space="preserve">will </w:t>
      </w:r>
      <w:r w:rsidR="006241A2" w:rsidRPr="003B1033">
        <w:t>focus</w:t>
      </w:r>
      <w:r w:rsidR="00FC7100" w:rsidRPr="003B1033">
        <w:t xml:space="preserve"> </w:t>
      </w:r>
      <w:r w:rsidR="006241A2" w:rsidRPr="003B1033">
        <w:t xml:space="preserve">on IAB with physically fixed </w:t>
      </w:r>
      <w:r w:rsidR="005E5137" w:rsidRPr="003B1033">
        <w:t>relays and</w:t>
      </w:r>
      <w:r w:rsidR="00FC7100" w:rsidRPr="003B1033">
        <w:t xml:space="preserve"> will </w:t>
      </w:r>
      <w:r w:rsidR="00F92914" w:rsidRPr="003B1033">
        <w:t xml:space="preserve">give high priority to </w:t>
      </w:r>
      <w:r w:rsidR="006241A2" w:rsidRPr="003B1033">
        <w:t>NR access over NR backhaul.</w:t>
      </w:r>
    </w:p>
    <w:p w14:paraId="56201974" w14:textId="0AD6E8F0" w:rsidR="00A9131A" w:rsidRPr="003B1033" w:rsidRDefault="00A9131A" w:rsidP="003E36CC">
      <w:r w:rsidRPr="003B1033">
        <w:t>The setup and configuration fo</w:t>
      </w:r>
      <w:r w:rsidR="00EF4615" w:rsidRPr="003B1033">
        <w:t>r</w:t>
      </w:r>
      <w:r w:rsidRPr="003B1033">
        <w:t xml:space="preserve"> the IAB node is the first step in the operation of the IAB node.</w:t>
      </w:r>
    </w:p>
    <w:p w14:paraId="21965D58" w14:textId="781F4FB9" w:rsidR="00A9131A" w:rsidRDefault="00A9131A" w:rsidP="003E36CC">
      <w:r w:rsidRPr="003B1033">
        <w:t xml:space="preserve">In </w:t>
      </w:r>
      <w:r w:rsidR="00BF617A" w:rsidRPr="003B1033">
        <w:t>R3</w:t>
      </w:r>
      <w:r w:rsidR="00CB0F60" w:rsidRPr="003B1033">
        <w:t>-18</w:t>
      </w:r>
      <w:r w:rsidR="003B1033" w:rsidRPr="003B1033">
        <w:t>1311</w:t>
      </w:r>
      <w:r w:rsidRPr="003B1033">
        <w:t>,</w:t>
      </w:r>
      <w:r>
        <w:t xml:space="preserve"> we have analysed options</w:t>
      </w:r>
      <w:r w:rsidR="00104D2C">
        <w:t xml:space="preserve"> for IAB node</w:t>
      </w:r>
      <w:r w:rsidR="00D633B2">
        <w:t xml:space="preserve"> functionality</w:t>
      </w:r>
      <w:r w:rsidR="00104D2C">
        <w:t xml:space="preserve">, ranging from </w:t>
      </w:r>
      <w:r w:rsidR="007B2ECF">
        <w:t xml:space="preserve">a </w:t>
      </w:r>
      <w:r w:rsidR="00104D2C">
        <w:t xml:space="preserve">full gNB visible in CN to </w:t>
      </w:r>
      <w:r w:rsidR="007B2ECF">
        <w:t xml:space="preserve">a </w:t>
      </w:r>
      <w:r w:rsidR="00104D2C">
        <w:t>DU served by a CU located in the “wired” part of the network.</w:t>
      </w:r>
      <w:r w:rsidR="00E92068">
        <w:t xml:space="preserve"> </w:t>
      </w:r>
      <w:r>
        <w:t xml:space="preserve">As discussed there, we have identified </w:t>
      </w:r>
      <w:r w:rsidR="007B2ECF">
        <w:t xml:space="preserve">that </w:t>
      </w:r>
      <w:r>
        <w:t>the IAB node as a DU has advantages over the architecture option where the IAB node is a full gNB</w:t>
      </w:r>
      <w:r w:rsidR="00E92068">
        <w:t>.</w:t>
      </w:r>
      <w:r>
        <w:t xml:space="preserve"> So</w:t>
      </w:r>
      <w:r w:rsidR="00724136">
        <w:t>,</w:t>
      </w:r>
      <w:r w:rsidR="00D633B2">
        <w:t xml:space="preserve"> </w:t>
      </w:r>
      <w:r>
        <w:t>this contribution</w:t>
      </w:r>
      <w:r w:rsidR="00D633B2">
        <w:t xml:space="preserve"> </w:t>
      </w:r>
      <w:r>
        <w:t>focus</w:t>
      </w:r>
      <w:r w:rsidR="00D633B2">
        <w:t>es</w:t>
      </w:r>
      <w:r>
        <w:t xml:space="preserve"> on that scenario. Also, </w:t>
      </w:r>
      <w:r w:rsidR="00402CDD">
        <w:t xml:space="preserve">two approaches, </w:t>
      </w:r>
      <w:r w:rsidR="007B2ECF">
        <w:t xml:space="preserve">namely </w:t>
      </w:r>
      <w:r w:rsidR="00402CDD" w:rsidRPr="003E36CC">
        <w:rPr>
          <w:i/>
        </w:rPr>
        <w:t>tunnelling</w:t>
      </w:r>
      <w:r w:rsidR="00402CDD">
        <w:t xml:space="preserve"> and </w:t>
      </w:r>
      <w:r w:rsidR="00402CDD" w:rsidRPr="003E36CC">
        <w:rPr>
          <w:i/>
        </w:rPr>
        <w:t>forwarding</w:t>
      </w:r>
      <w:r w:rsidR="007B2ECF">
        <w:rPr>
          <w:i/>
        </w:rPr>
        <w:t>,</w:t>
      </w:r>
      <w:r>
        <w:t xml:space="preserve"> </w:t>
      </w:r>
      <w:r w:rsidR="007B2ECF">
        <w:t xml:space="preserve">have been </w:t>
      </w:r>
      <w:r>
        <w:t>id</w:t>
      </w:r>
      <w:r w:rsidR="007C1EC4">
        <w:t>entified</w:t>
      </w:r>
      <w:r>
        <w:t xml:space="preserve"> in </w:t>
      </w:r>
      <w:r w:rsidR="00BF617A" w:rsidRPr="003B1033">
        <w:t>R3</w:t>
      </w:r>
      <w:r w:rsidR="00CB0F60" w:rsidRPr="003B1033">
        <w:t>-18</w:t>
      </w:r>
      <w:r w:rsidR="003B1033">
        <w:t>1314</w:t>
      </w:r>
      <w:r w:rsidR="00402CDD" w:rsidRPr="003B1033">
        <w:t xml:space="preserve"> for</w:t>
      </w:r>
      <w:r w:rsidR="00402CDD">
        <w:t xml:space="preserve"> the backhaul architecture of IAB node</w:t>
      </w:r>
      <w:r>
        <w:t xml:space="preserve">. For the sake of simplicity, </w:t>
      </w:r>
      <w:r w:rsidR="00D633B2">
        <w:t>this contribution</w:t>
      </w:r>
      <w:r>
        <w:t xml:space="preserve"> focus</w:t>
      </w:r>
      <w:r w:rsidR="00D633B2">
        <w:t>es</w:t>
      </w:r>
      <w:r>
        <w:t xml:space="preserve"> on the tunnelling approach</w:t>
      </w:r>
      <w:r w:rsidR="00806C86">
        <w:t xml:space="preserve"> as it </w:t>
      </w:r>
      <w:r w:rsidR="00DE3EB9">
        <w:t xml:space="preserve">has minimum standard impact since normal UE – network functionality </w:t>
      </w:r>
      <w:r w:rsidR="007B2ECF">
        <w:t xml:space="preserve">could be </w:t>
      </w:r>
      <w:r w:rsidR="00DE3EB9">
        <w:t xml:space="preserve">reused. </w:t>
      </w:r>
    </w:p>
    <w:p w14:paraId="3471BD08" w14:textId="45D46C8A" w:rsidR="002518E4" w:rsidRPr="002518E4" w:rsidRDefault="00715BF1" w:rsidP="002518E4">
      <w:pPr>
        <w:pStyle w:val="Heading1"/>
      </w:pPr>
      <w:bookmarkStart w:id="1" w:name="_Hlk505772870"/>
      <w:r>
        <w:t>Background</w:t>
      </w:r>
      <w:bookmarkEnd w:id="1"/>
    </w:p>
    <w:p w14:paraId="0A6DB24D" w14:textId="7056785F" w:rsidR="002518E4" w:rsidRDefault="002518E4" w:rsidP="002518E4">
      <w:pPr>
        <w:tabs>
          <w:tab w:val="left" w:pos="2265"/>
        </w:tabs>
        <w:spacing w:after="180"/>
      </w:pPr>
      <w:r>
        <w:t xml:space="preserve">Here we describe </w:t>
      </w:r>
      <w:r w:rsidR="004412F8">
        <w:t xml:space="preserve">the </w:t>
      </w:r>
      <w:r>
        <w:t>current procedures</w:t>
      </w:r>
      <w:r w:rsidR="006F7109">
        <w:t xml:space="preserve"> for a UE registering to the network</w:t>
      </w:r>
      <w:r>
        <w:t>, all in the context of CU-DU split, and NR only scenario</w:t>
      </w:r>
      <w:r w:rsidR="00ED75CD">
        <w:t>.</w:t>
      </w:r>
      <w:r w:rsidR="006F7109">
        <w:t xml:space="preserve"> This procedure is used as a reference case for the IAB setup procedure.</w:t>
      </w:r>
    </w:p>
    <w:p w14:paraId="2D5DF802" w14:textId="531AD475" w:rsidR="000B28BF" w:rsidRDefault="009F58B4" w:rsidP="00622FE9">
      <w:pPr>
        <w:pStyle w:val="Heading2"/>
      </w:pPr>
      <w:r>
        <w:t xml:space="preserve">Overall </w:t>
      </w:r>
      <w:r w:rsidR="007B2ECF">
        <w:t xml:space="preserve">UE setup </w:t>
      </w:r>
      <w:r w:rsidR="00AF5F1D">
        <w:t>p</w:t>
      </w:r>
      <w:r>
        <w:t>rocedures in CU/DU</w:t>
      </w:r>
      <w:r w:rsidR="00584BEF">
        <w:t xml:space="preserve"> </w:t>
      </w:r>
      <w:r w:rsidR="00AF5F1D">
        <w:t>split a</w:t>
      </w:r>
      <w:r w:rsidR="00584BEF">
        <w:t>rchitecture</w:t>
      </w:r>
    </w:p>
    <w:p w14:paraId="7465AD91" w14:textId="3808264F" w:rsidR="00726B42" w:rsidRPr="00726B42" w:rsidRDefault="00726B42" w:rsidP="00726B42">
      <w:r>
        <w:t xml:space="preserve">The signalling flow for UE </w:t>
      </w:r>
      <w:r w:rsidR="00C17F90">
        <w:t>i</w:t>
      </w:r>
      <w:r>
        <w:t>nitial access is shown in figure 1</w:t>
      </w:r>
      <w:r w:rsidR="007B2ECF">
        <w:t xml:space="preserve"> </w:t>
      </w:r>
      <w:r w:rsidR="00E14575">
        <w:t>[TS 23.502]</w:t>
      </w:r>
      <w:r>
        <w:t>.</w:t>
      </w:r>
    </w:p>
    <w:p w14:paraId="09003BDF" w14:textId="77777777" w:rsidR="00CE3D56" w:rsidRDefault="00CE3D56" w:rsidP="00757328">
      <w:pPr>
        <w:ind w:left="568" w:hanging="284"/>
        <w:rPr>
          <w:rFonts w:ascii="Times New Roman" w:hAnsi="Times New Roman"/>
        </w:rPr>
      </w:pPr>
      <w:r>
        <w:t>1. The UE sends RRC Connection Request message to the gNB-DU.</w:t>
      </w:r>
    </w:p>
    <w:p w14:paraId="69059700" w14:textId="40721F4C" w:rsidR="00CE3D56" w:rsidRDefault="00546139" w:rsidP="00757328">
      <w:pPr>
        <w:ind w:left="568" w:hanging="284"/>
      </w:pPr>
      <w:r>
        <w:t xml:space="preserve">2. The gNB-DU </w:t>
      </w:r>
      <w:r w:rsidR="00CE3D56">
        <w:t>includes the RRC message and, if the UE is admitted, the corresponding low</w:t>
      </w:r>
      <w:r w:rsidR="000A301B">
        <w:t>er</w:t>
      </w:r>
      <w:r w:rsidR="00CE3D56">
        <w:t xml:space="preserve"> layer configuration for the UE in the F1AP INITIAL UL RRC MESSAGE message and transfers to the gNB-CU. The INITIAL UL RRC MESSAGE </w:t>
      </w:r>
      <w:r w:rsidR="002E01F5">
        <w:t>message includes</w:t>
      </w:r>
      <w:r w:rsidR="00CE3D56">
        <w:t xml:space="preserve"> the C-RNTI allocated by the gNB-DU.</w:t>
      </w:r>
    </w:p>
    <w:p w14:paraId="167ED5A9" w14:textId="77777777" w:rsidR="00CE3D56" w:rsidRDefault="00CE3D56" w:rsidP="00757328">
      <w:pPr>
        <w:ind w:left="568" w:hanging="284"/>
      </w:pPr>
      <w:r>
        <w:t>3. The gNB-CU allocates a gNB-CU UE F1AP ID for the UE and generates RRC CONNECTION SETUP message towards UE. The RRC message is encapsulated in the F1AP DL RRC MESSAGE TRANSFER message.</w:t>
      </w:r>
    </w:p>
    <w:p w14:paraId="1AD77523" w14:textId="77777777" w:rsidR="00CE3D56" w:rsidRDefault="00CE3D56" w:rsidP="00757328">
      <w:pPr>
        <w:ind w:left="568" w:hanging="284"/>
      </w:pPr>
      <w:r>
        <w:t>4. The gNB-DU sends the RRC CONNECTION SETUP message to the UE.</w:t>
      </w:r>
    </w:p>
    <w:p w14:paraId="56B570CB" w14:textId="77777777" w:rsidR="00CE3D56" w:rsidRDefault="00CE3D56" w:rsidP="00757328">
      <w:pPr>
        <w:ind w:left="568" w:hanging="284"/>
      </w:pPr>
      <w:r>
        <w:t>5. The UE sends the RRC CONNECTION SETUP COMPLETE message to the gNB-DU.</w:t>
      </w:r>
    </w:p>
    <w:p w14:paraId="09B4F49D" w14:textId="77777777" w:rsidR="00CE3D56" w:rsidRDefault="00CE3D56" w:rsidP="00757328">
      <w:pPr>
        <w:ind w:left="568" w:hanging="284"/>
        <w:rPr>
          <w:lang w:eastAsia="en-US"/>
        </w:rPr>
      </w:pPr>
      <w:r>
        <w:t>6. The gNB-DU encapsulates the RRC message in the F1AP UL RRC MESSAGE TRANSFER message and sends it to the gNB-CU.</w:t>
      </w:r>
    </w:p>
    <w:p w14:paraId="7E18EED8" w14:textId="22259E48" w:rsidR="00CE3D56" w:rsidRDefault="00CE3D56" w:rsidP="00757328">
      <w:pPr>
        <w:ind w:left="568" w:hanging="284"/>
      </w:pPr>
      <w:r>
        <w:t>7. The gNB-CU sends the INITIAL UE MESSAGE to the AMF.</w:t>
      </w:r>
    </w:p>
    <w:p w14:paraId="18527BC3" w14:textId="3A9E6B23" w:rsidR="006F7109" w:rsidRDefault="006F7109" w:rsidP="003E36CC">
      <w:r>
        <w:t xml:space="preserve">At this point the UE will </w:t>
      </w:r>
      <w:r w:rsidR="007B2ECF">
        <w:t>perform</w:t>
      </w:r>
      <w:r>
        <w:t xml:space="preserve"> UE registration (including authentication and key generation) and PDU session establishment. For detailed procedures see </w:t>
      </w:r>
      <w:r w:rsidR="00E14575">
        <w:t xml:space="preserve">TS </w:t>
      </w:r>
      <w:r>
        <w:t>23.502.</w:t>
      </w:r>
    </w:p>
    <w:p w14:paraId="04E921E4" w14:textId="48B534FE" w:rsidR="00CE3D56" w:rsidRDefault="00827FDC" w:rsidP="00757328">
      <w:pPr>
        <w:ind w:left="568" w:hanging="284"/>
      </w:pPr>
      <w:r>
        <w:t>8</w:t>
      </w:r>
      <w:r w:rsidR="00CE3D56">
        <w:t>. The AMF sends the INITIAL UE CONTEXT SETUP REQUEST message to the gNB-CU.</w:t>
      </w:r>
    </w:p>
    <w:p w14:paraId="7EC5D4B5" w14:textId="2BEA5F79" w:rsidR="00CE3D56" w:rsidRDefault="00827FDC" w:rsidP="00757328">
      <w:pPr>
        <w:ind w:left="568" w:hanging="284"/>
      </w:pPr>
      <w:r>
        <w:lastRenderedPageBreak/>
        <w:t>9</w:t>
      </w:r>
      <w:r w:rsidR="00CE3D56">
        <w:t>. The gNB-CU sends the UE CONTEXT SETUP REQUEST message to establish the UE context in the gNB-DU. In this message, it may also encapsulate the RRC SECURITY MODE COMMAND message.</w:t>
      </w:r>
    </w:p>
    <w:p w14:paraId="067E1C64" w14:textId="1BD626A6" w:rsidR="00CE3D56" w:rsidRDefault="00CE3D56" w:rsidP="00757328">
      <w:pPr>
        <w:ind w:left="568" w:hanging="284"/>
      </w:pPr>
      <w:r>
        <w:t>1</w:t>
      </w:r>
      <w:r w:rsidR="00827FDC">
        <w:t>0</w:t>
      </w:r>
      <w:r>
        <w:t>. The gNB-DU sends the RRC SECURITY MODE COMMAND message to the UE.</w:t>
      </w:r>
    </w:p>
    <w:p w14:paraId="01955CD7" w14:textId="2949B2D0" w:rsidR="00827FDC" w:rsidRDefault="00827FDC" w:rsidP="00757328">
      <w:pPr>
        <w:ind w:left="568" w:hanging="284"/>
      </w:pPr>
      <w:r>
        <w:t>11. The gNB-DU sends the UE CONTEXT SETUP RESPONSE message to the</w:t>
      </w:r>
      <w:r w:rsidRPr="00827FDC">
        <w:t xml:space="preserve"> </w:t>
      </w:r>
      <w:r>
        <w:t>gNB-CU.</w:t>
      </w:r>
    </w:p>
    <w:p w14:paraId="7F0F9B42" w14:textId="2AD9C76E" w:rsidR="005B6FF2" w:rsidRDefault="00CE3D56" w:rsidP="005B6FF2">
      <w:pPr>
        <w:ind w:left="568" w:hanging="284"/>
      </w:pPr>
      <w:r>
        <w:t>1</w:t>
      </w:r>
      <w:r w:rsidR="00827FDC">
        <w:t>2</w:t>
      </w:r>
      <w:r>
        <w:t>. The UE responds with the RRC SECURITY MODE COMPLETE message</w:t>
      </w:r>
      <w:r w:rsidR="005B6FF2">
        <w:t>.</w:t>
      </w:r>
    </w:p>
    <w:p w14:paraId="311B86B0" w14:textId="6DD2D02D" w:rsidR="00CE3D56" w:rsidRDefault="00CE3D56" w:rsidP="00757328">
      <w:pPr>
        <w:ind w:left="568" w:hanging="284"/>
      </w:pPr>
      <w:r>
        <w:t>1</w:t>
      </w:r>
      <w:r w:rsidR="00827FDC">
        <w:t>3</w:t>
      </w:r>
      <w:r>
        <w:t>. The gNB-DU encapsulates the RRC message in the F1AP UL RRC MESSAGE TRANSFER message and sends it to the gNB-CU.</w:t>
      </w:r>
    </w:p>
    <w:p w14:paraId="080AE4DC" w14:textId="5E754864" w:rsidR="00CE3D56" w:rsidRDefault="00CE3D56" w:rsidP="00757328">
      <w:pPr>
        <w:ind w:left="568" w:hanging="284"/>
      </w:pPr>
      <w:r>
        <w:t>1</w:t>
      </w:r>
      <w:r w:rsidR="00827FDC">
        <w:t>4</w:t>
      </w:r>
      <w:r>
        <w:t>. The gNB-CU generates the RRC CONNECTION RECONFIGURATION message and encapsulates it in the F1AP DL RRC MESSAGE TRANSFER message</w:t>
      </w:r>
      <w:r w:rsidR="00827FDC">
        <w:t>.</w:t>
      </w:r>
    </w:p>
    <w:p w14:paraId="24FA7403" w14:textId="2B1837C9" w:rsidR="00CE3D56" w:rsidRDefault="00CE3D56" w:rsidP="00757328">
      <w:pPr>
        <w:ind w:left="568" w:hanging="284"/>
      </w:pPr>
      <w:r>
        <w:t>1</w:t>
      </w:r>
      <w:r w:rsidR="00827FDC">
        <w:t>5</w:t>
      </w:r>
      <w:r>
        <w:t>. The gNB-DU sends RRC CONNECTION RECONFIGURATION message to the UE.</w:t>
      </w:r>
    </w:p>
    <w:p w14:paraId="37415163" w14:textId="11D148B2" w:rsidR="00CE3D56" w:rsidRDefault="00CE3D56" w:rsidP="00757328">
      <w:pPr>
        <w:ind w:left="568" w:hanging="284"/>
      </w:pPr>
      <w:r>
        <w:t>1</w:t>
      </w:r>
      <w:r w:rsidR="00827FDC">
        <w:t>6</w:t>
      </w:r>
      <w:r>
        <w:t>. The UE sends RRC CONNECTION RECONFIGURATION COMPLETE message to the gNB-DU.</w:t>
      </w:r>
    </w:p>
    <w:p w14:paraId="5FDC0294" w14:textId="428D553B" w:rsidR="00CE3D56" w:rsidRDefault="00CE3D56" w:rsidP="00757328">
      <w:pPr>
        <w:ind w:left="568" w:hanging="284"/>
        <w:rPr>
          <w:lang w:eastAsia="en-US"/>
        </w:rPr>
      </w:pPr>
      <w:r>
        <w:t>1</w:t>
      </w:r>
      <w:r w:rsidR="00827FDC">
        <w:t>7</w:t>
      </w:r>
      <w:r>
        <w:t xml:space="preserve">. The gNB-DU encapsulates the RRC message in the F1AP UL RRC MESSAGE TRANSFER message and </w:t>
      </w:r>
      <w:r w:rsidR="00542DFC">
        <w:t>sends</w:t>
      </w:r>
      <w:r>
        <w:t xml:space="preserve"> it to the </w:t>
      </w:r>
      <w:bookmarkStart w:id="2" w:name="_Hlk506201034"/>
      <w:r>
        <w:t>gNB-CU</w:t>
      </w:r>
      <w:bookmarkEnd w:id="2"/>
      <w:r>
        <w:t>.</w:t>
      </w:r>
    </w:p>
    <w:p w14:paraId="165BC9C6" w14:textId="330DB812" w:rsidR="00CE3D56" w:rsidRDefault="00827FDC" w:rsidP="00757328">
      <w:pPr>
        <w:ind w:left="568" w:hanging="284"/>
      </w:pPr>
      <w:r>
        <w:t>18</w:t>
      </w:r>
      <w:r w:rsidR="00CE3D56">
        <w:t>. The gNB-CU sends the INITIAL UE CONTEXT SETUP RESPONSE message to the AMF.</w:t>
      </w:r>
    </w:p>
    <w:p w14:paraId="305B6C2C" w14:textId="77777777" w:rsidR="003238C0" w:rsidRDefault="003238C0" w:rsidP="00757328">
      <w:pPr>
        <w:ind w:left="568" w:hanging="284"/>
      </w:pPr>
    </w:p>
    <w:p w14:paraId="5A587AE2" w14:textId="77777777" w:rsidR="000B28BF" w:rsidRDefault="003238C0" w:rsidP="003238C0">
      <w:pPr>
        <w:tabs>
          <w:tab w:val="left" w:pos="2265"/>
        </w:tabs>
        <w:spacing w:after="180"/>
        <w:ind w:left="284"/>
        <w:jc w:val="center"/>
      </w:pPr>
      <w:r>
        <w:rPr>
          <w:noProof/>
        </w:rPr>
        <w:drawing>
          <wp:inline distT="0" distB="0" distL="0" distR="0" wp14:anchorId="480F177F" wp14:editId="7B897EF9">
            <wp:extent cx="5316037" cy="57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RT1.jpg"/>
                    <pic:cNvPicPr/>
                  </pic:nvPicPr>
                  <pic:blipFill>
                    <a:blip r:embed="rId13"/>
                    <a:stretch>
                      <a:fillRect/>
                    </a:stretch>
                  </pic:blipFill>
                  <pic:spPr>
                    <a:xfrm>
                      <a:off x="0" y="0"/>
                      <a:ext cx="5316037" cy="5760000"/>
                    </a:xfrm>
                    <a:prstGeom prst="rect">
                      <a:avLst/>
                    </a:prstGeom>
                  </pic:spPr>
                </pic:pic>
              </a:graphicData>
            </a:graphic>
          </wp:inline>
        </w:drawing>
      </w:r>
    </w:p>
    <w:p w14:paraId="0F6F14A9" w14:textId="7515740C" w:rsidR="00622FE9" w:rsidRDefault="00622FE9" w:rsidP="00F90089">
      <w:pPr>
        <w:pStyle w:val="Caption"/>
        <w:ind w:left="432"/>
      </w:pPr>
      <w:bookmarkStart w:id="3" w:name="_Hlk506274342"/>
      <w:r>
        <w:t xml:space="preserve">Figure </w:t>
      </w:r>
      <w:r w:rsidR="000A301B">
        <w:t>1</w:t>
      </w:r>
      <w:r>
        <w:t xml:space="preserve"> UE </w:t>
      </w:r>
      <w:r w:rsidR="00814E0B">
        <w:t>i</w:t>
      </w:r>
      <w:r>
        <w:t xml:space="preserve">nitial </w:t>
      </w:r>
      <w:r w:rsidR="00814E0B">
        <w:t>a</w:t>
      </w:r>
      <w:r>
        <w:t xml:space="preserve">ccess </w:t>
      </w:r>
      <w:r w:rsidR="00814E0B">
        <w:t>p</w:t>
      </w:r>
      <w:r>
        <w:t>rocedure</w:t>
      </w:r>
    </w:p>
    <w:bookmarkEnd w:id="3"/>
    <w:p w14:paraId="12F0BA15" w14:textId="77777777" w:rsidR="002518E4" w:rsidRDefault="002518E4" w:rsidP="002518E4">
      <w:pPr>
        <w:pStyle w:val="Heading1"/>
      </w:pPr>
      <w:r>
        <w:lastRenderedPageBreak/>
        <w:t>IAB node setup</w:t>
      </w:r>
    </w:p>
    <w:p w14:paraId="2F502164" w14:textId="74435AB5" w:rsidR="00A70B64" w:rsidRDefault="00A70B64" w:rsidP="00F90089">
      <w:pPr>
        <w:rPr>
          <w:lang w:val="en-US"/>
        </w:rPr>
      </w:pPr>
      <w:r>
        <w:rPr>
          <w:lang w:val="en-US"/>
        </w:rPr>
        <w:t xml:space="preserve">In our view the IAB node setup is made up of three different phases which can be analyzed separately. </w:t>
      </w:r>
    </w:p>
    <w:p w14:paraId="56FBD600" w14:textId="4E70BCC4" w:rsidR="00A70B64" w:rsidRDefault="00A70B64" w:rsidP="00F90089">
      <w:pPr>
        <w:rPr>
          <w:lang w:val="en-US"/>
        </w:rPr>
      </w:pPr>
      <w:r>
        <w:rPr>
          <w:lang w:val="en-US"/>
        </w:rPr>
        <w:t>In the first phase</w:t>
      </w:r>
      <w:r w:rsidR="00AA5EF5">
        <w:rPr>
          <w:lang w:val="en-US"/>
        </w:rPr>
        <w:t>,</w:t>
      </w:r>
      <w:r>
        <w:rPr>
          <w:lang w:val="en-US"/>
        </w:rPr>
        <w:t xml:space="preserve"> the IAB node establishes IP connectivity to the operator’s network. This enables the IAB node to reach OAM functionality for </w:t>
      </w:r>
      <w:r w:rsidR="00A062B6">
        <w:rPr>
          <w:lang w:val="en-US"/>
        </w:rPr>
        <w:t>initial</w:t>
      </w:r>
      <w:r>
        <w:rPr>
          <w:lang w:val="en-US"/>
        </w:rPr>
        <w:t xml:space="preserve"> OAM configuration, as well as setting up connectivity to the CU which is </w:t>
      </w:r>
      <w:r w:rsidR="00A062B6">
        <w:rPr>
          <w:lang w:val="en-US"/>
        </w:rPr>
        <w:t xml:space="preserve">performed in </w:t>
      </w:r>
      <w:r>
        <w:rPr>
          <w:lang w:val="en-US"/>
        </w:rPr>
        <w:t xml:space="preserve">the next phase. </w:t>
      </w:r>
    </w:p>
    <w:p w14:paraId="4E0FE6F4" w14:textId="751370F8" w:rsidR="00A70B64" w:rsidRDefault="00A70B64" w:rsidP="00F90089">
      <w:pPr>
        <w:rPr>
          <w:lang w:val="en-US"/>
        </w:rPr>
      </w:pPr>
      <w:r>
        <w:rPr>
          <w:lang w:val="en-US"/>
        </w:rPr>
        <w:t>In the second phase</w:t>
      </w:r>
      <w:r w:rsidR="00A062B6">
        <w:rPr>
          <w:lang w:val="en-US"/>
        </w:rPr>
        <w:t xml:space="preserve"> called IA</w:t>
      </w:r>
      <w:r w:rsidR="00AA5EF5">
        <w:rPr>
          <w:lang w:val="en-US"/>
        </w:rPr>
        <w:t>B</w:t>
      </w:r>
      <w:r w:rsidR="00A062B6">
        <w:rPr>
          <w:lang w:val="en-US"/>
        </w:rPr>
        <w:t xml:space="preserve"> node </w:t>
      </w:r>
      <w:r w:rsidR="00AA5EF5">
        <w:rPr>
          <w:lang w:val="en-US"/>
        </w:rPr>
        <w:t xml:space="preserve">is </w:t>
      </w:r>
      <w:r w:rsidR="00A062B6">
        <w:rPr>
          <w:lang w:val="en-US"/>
        </w:rPr>
        <w:t>setup as a DU,</w:t>
      </w:r>
      <w:r>
        <w:rPr>
          <w:lang w:val="en-US"/>
        </w:rPr>
        <w:t xml:space="preserve"> </w:t>
      </w:r>
      <w:r w:rsidR="00AA5EF5">
        <w:rPr>
          <w:lang w:val="en-US"/>
        </w:rPr>
        <w:t xml:space="preserve">where </w:t>
      </w:r>
      <w:r>
        <w:rPr>
          <w:lang w:val="en-US"/>
        </w:rPr>
        <w:t>the IAB node set</w:t>
      </w:r>
      <w:r w:rsidR="005557DF">
        <w:rPr>
          <w:lang w:val="en-US"/>
        </w:rPr>
        <w:t xml:space="preserve">s </w:t>
      </w:r>
      <w:r>
        <w:rPr>
          <w:lang w:val="en-US"/>
        </w:rPr>
        <w:t xml:space="preserve">up the </w:t>
      </w:r>
      <w:r w:rsidR="00A062B6">
        <w:rPr>
          <w:lang w:val="en-US"/>
        </w:rPr>
        <w:t xml:space="preserve">F1 connectivity to a CU. This phase </w:t>
      </w:r>
      <w:r w:rsidR="00C00C28">
        <w:rPr>
          <w:lang w:val="en-US"/>
        </w:rPr>
        <w:t>must</w:t>
      </w:r>
      <w:r w:rsidR="00A062B6">
        <w:rPr>
          <w:lang w:val="en-US"/>
        </w:rPr>
        <w:t xml:space="preserve"> be performed before the IAB node can </w:t>
      </w:r>
      <w:r w:rsidR="005557DF">
        <w:rPr>
          <w:lang w:val="en-US"/>
        </w:rPr>
        <w:t xml:space="preserve">start </w:t>
      </w:r>
      <w:r w:rsidR="00A062B6">
        <w:rPr>
          <w:lang w:val="en-US"/>
        </w:rPr>
        <w:t>serv</w:t>
      </w:r>
      <w:r w:rsidR="005557DF">
        <w:rPr>
          <w:lang w:val="en-US"/>
        </w:rPr>
        <w:t>ing</w:t>
      </w:r>
      <w:r w:rsidR="00A062B6">
        <w:rPr>
          <w:lang w:val="en-US"/>
        </w:rPr>
        <w:t xml:space="preserve"> UE</w:t>
      </w:r>
      <w:r w:rsidR="003E36CC">
        <w:rPr>
          <w:lang w:val="en-US"/>
        </w:rPr>
        <w:t>’</w:t>
      </w:r>
      <w:r w:rsidR="00A062B6">
        <w:rPr>
          <w:lang w:val="en-US"/>
        </w:rPr>
        <w:t xml:space="preserve">s. </w:t>
      </w:r>
      <w:r w:rsidR="005C3119">
        <w:t>In this phase, the DU activates the cells based on the information received in the F1 setup response. The UE part of the IAB node makes a cell search based on the PSS-SSS and finds the cell id, decoding the MIB and the SIBs. This is followed by the RACH and RAR procedure and then by RRC connection request.</w:t>
      </w:r>
    </w:p>
    <w:p w14:paraId="79DC38A8" w14:textId="60C0B166" w:rsidR="00A062B6" w:rsidRDefault="005557DF" w:rsidP="00F90089">
      <w:pPr>
        <w:rPr>
          <w:lang w:val="en-US"/>
        </w:rPr>
      </w:pPr>
      <w:r>
        <w:rPr>
          <w:lang w:val="en-US"/>
        </w:rPr>
        <w:t xml:space="preserve">In the third phase, the IAB node is </w:t>
      </w:r>
      <w:r w:rsidR="00A062B6">
        <w:rPr>
          <w:lang w:val="en-US"/>
        </w:rPr>
        <w:t>up and running</w:t>
      </w:r>
      <w:r>
        <w:rPr>
          <w:lang w:val="en-US"/>
        </w:rPr>
        <w:t xml:space="preserve"> as a DU and UEs will not be able to distinguish it from other gNBs</w:t>
      </w:r>
      <w:r w:rsidR="00A062B6">
        <w:rPr>
          <w:lang w:val="en-US"/>
        </w:rPr>
        <w:t xml:space="preserve">. </w:t>
      </w:r>
      <w:r>
        <w:rPr>
          <w:lang w:val="en-US"/>
        </w:rPr>
        <w:t>As such, it can start serving UE</w:t>
      </w:r>
      <w:r w:rsidR="00C00C28">
        <w:rPr>
          <w:lang w:val="en-US"/>
        </w:rPr>
        <w:t>’</w:t>
      </w:r>
      <w:r>
        <w:rPr>
          <w:lang w:val="en-US"/>
        </w:rPr>
        <w:t xml:space="preserve">s like any other DU/gNB. </w:t>
      </w:r>
    </w:p>
    <w:p w14:paraId="73560C1D" w14:textId="77777777" w:rsidR="005557DF" w:rsidRDefault="005557DF" w:rsidP="00F90089">
      <w:pPr>
        <w:rPr>
          <w:lang w:val="en-US"/>
        </w:rPr>
      </w:pPr>
    </w:p>
    <w:p w14:paraId="285A59C3" w14:textId="2C74B5D7" w:rsidR="00A70B64" w:rsidRDefault="00A062B6" w:rsidP="00A062B6">
      <w:pPr>
        <w:pStyle w:val="Observation"/>
      </w:pPr>
      <w:r>
        <w:t>The IAB node setup involves three phases:</w:t>
      </w:r>
    </w:p>
    <w:p w14:paraId="7A8D5865" w14:textId="222D8346" w:rsidR="00A062B6" w:rsidRPr="00A062B6" w:rsidRDefault="00C00C28" w:rsidP="00A062B6">
      <w:pPr>
        <w:pStyle w:val="Observation"/>
        <w:numPr>
          <w:ilvl w:val="1"/>
          <w:numId w:val="9"/>
        </w:numPr>
      </w:pPr>
      <w:r>
        <w:rPr>
          <w:szCs w:val="24"/>
        </w:rPr>
        <w:t xml:space="preserve">Establishing </w:t>
      </w:r>
      <w:r w:rsidR="00A062B6">
        <w:rPr>
          <w:szCs w:val="24"/>
        </w:rPr>
        <w:t>IP connectivity to operator network</w:t>
      </w:r>
      <w:r w:rsidR="002B3933">
        <w:rPr>
          <w:szCs w:val="24"/>
        </w:rPr>
        <w:t>,</w:t>
      </w:r>
    </w:p>
    <w:p w14:paraId="3B892A37" w14:textId="18417D86" w:rsidR="00A062B6" w:rsidRPr="00A062B6" w:rsidRDefault="00A062B6" w:rsidP="00A062B6">
      <w:pPr>
        <w:pStyle w:val="Observation"/>
        <w:numPr>
          <w:ilvl w:val="1"/>
          <w:numId w:val="9"/>
        </w:numPr>
      </w:pPr>
      <w:r>
        <w:rPr>
          <w:szCs w:val="24"/>
        </w:rPr>
        <w:t>Setting up the IAB node as a DU</w:t>
      </w:r>
      <w:r w:rsidR="002B3933">
        <w:rPr>
          <w:szCs w:val="24"/>
        </w:rPr>
        <w:t>,</w:t>
      </w:r>
    </w:p>
    <w:p w14:paraId="1470D2B9" w14:textId="08850F51" w:rsidR="00A062B6" w:rsidRPr="00451529" w:rsidRDefault="00A062B6" w:rsidP="00A062B6">
      <w:pPr>
        <w:pStyle w:val="Observation"/>
        <w:numPr>
          <w:ilvl w:val="1"/>
          <w:numId w:val="9"/>
        </w:numPr>
      </w:pPr>
      <w:r>
        <w:rPr>
          <w:szCs w:val="24"/>
        </w:rPr>
        <w:t>Serving end users (IAB node up and running)</w:t>
      </w:r>
      <w:r w:rsidR="00D2769A">
        <w:rPr>
          <w:szCs w:val="24"/>
        </w:rPr>
        <w:t>.</w:t>
      </w:r>
    </w:p>
    <w:p w14:paraId="1FC282E1" w14:textId="77777777" w:rsidR="00451529" w:rsidRDefault="00451529" w:rsidP="00451529">
      <w:pPr>
        <w:pStyle w:val="TOC1"/>
        <w:spacing w:after="240"/>
        <w:jc w:val="both"/>
        <w:rPr>
          <w:noProof w:val="0"/>
          <w:lang w:val="en-GB"/>
        </w:rPr>
      </w:pPr>
      <w:r>
        <w:t xml:space="preserve">   </w:t>
      </w:r>
    </w:p>
    <w:p w14:paraId="0423BDB8" w14:textId="18EA0469" w:rsidR="00451529" w:rsidRPr="00A9131A" w:rsidRDefault="00451529" w:rsidP="00451529">
      <w:pPr>
        <w:pStyle w:val="Proposal"/>
        <w:rPr>
          <w:sz w:val="16"/>
        </w:rPr>
      </w:pPr>
      <w:bookmarkStart w:id="4" w:name="_Toc506483502"/>
      <w:bookmarkStart w:id="5" w:name="_Toc506535315"/>
      <w:bookmarkStart w:id="6" w:name="_Toc506549313"/>
      <w:bookmarkStart w:id="7" w:name="_Toc506549455"/>
      <w:bookmarkStart w:id="8" w:name="_Toc506549490"/>
      <w:bookmarkStart w:id="9" w:name="_Toc506553112"/>
      <w:bookmarkStart w:id="10" w:name="_Toc506553375"/>
      <w:bookmarkStart w:id="11" w:name="_Toc506553479"/>
      <w:bookmarkStart w:id="12" w:name="_Toc506553634"/>
      <w:bookmarkStart w:id="13" w:name="_Toc506563510"/>
      <w:bookmarkStart w:id="14" w:name="_Toc513551623"/>
      <w:r>
        <w:rPr>
          <w:szCs w:val="24"/>
        </w:rPr>
        <w:t>The IAB node setup should be split into three different phases, namely a) establishing connectivity, b) IAB node setup as a DU, and c) IAB node up and runnin</w:t>
      </w:r>
      <w:bookmarkEnd w:id="4"/>
      <w:r>
        <w:rPr>
          <w:szCs w:val="24"/>
        </w:rPr>
        <w:t>g. These three phases should be further analysed for the proposed architectures for the IAB node.</w:t>
      </w:r>
      <w:bookmarkEnd w:id="5"/>
      <w:bookmarkEnd w:id="6"/>
      <w:bookmarkEnd w:id="7"/>
      <w:bookmarkEnd w:id="8"/>
      <w:bookmarkEnd w:id="9"/>
      <w:bookmarkEnd w:id="10"/>
      <w:bookmarkEnd w:id="11"/>
      <w:bookmarkEnd w:id="12"/>
      <w:bookmarkEnd w:id="13"/>
      <w:bookmarkEnd w:id="14"/>
    </w:p>
    <w:p w14:paraId="045FA311" w14:textId="77777777" w:rsidR="00451529" w:rsidRPr="003E36CC" w:rsidRDefault="00451529" w:rsidP="00451529">
      <w:pPr>
        <w:pStyle w:val="Observation"/>
        <w:numPr>
          <w:ilvl w:val="0"/>
          <w:numId w:val="0"/>
        </w:numPr>
        <w:ind w:left="1701" w:hanging="1701"/>
      </w:pPr>
    </w:p>
    <w:p w14:paraId="168ECFA4" w14:textId="78CA6D4A" w:rsidR="002518E4" w:rsidRDefault="00814E0B" w:rsidP="00EB48BF">
      <w:pPr>
        <w:pStyle w:val="Heading2"/>
      </w:pPr>
      <w:r>
        <w:t xml:space="preserve">Phase 1: </w:t>
      </w:r>
      <w:r w:rsidR="00470DED">
        <w:t xml:space="preserve">Establishing </w:t>
      </w:r>
      <w:r>
        <w:t xml:space="preserve">IP </w:t>
      </w:r>
      <w:r w:rsidR="00A226DB">
        <w:t>c</w:t>
      </w:r>
      <w:r w:rsidR="00470DED">
        <w:t>onnectivity</w:t>
      </w:r>
    </w:p>
    <w:p w14:paraId="5478C750" w14:textId="36A708C5" w:rsidR="00274E1D" w:rsidRDefault="000E34ED" w:rsidP="00F90089">
      <w:r>
        <w:t>As a first step</w:t>
      </w:r>
      <w:r w:rsidR="00ED75CD">
        <w:t>,</w:t>
      </w:r>
      <w:r w:rsidR="00667134">
        <w:t xml:space="preserve"> </w:t>
      </w:r>
      <w:r w:rsidR="00DA416C">
        <w:t>an</w:t>
      </w:r>
      <w:r w:rsidR="00667134">
        <w:t xml:space="preserve"> IAB node</w:t>
      </w:r>
      <w:r>
        <w:t xml:space="preserve"> needs to get connected to </w:t>
      </w:r>
      <w:r w:rsidR="00C6067F">
        <w:t>an</w:t>
      </w:r>
      <w:r>
        <w:t xml:space="preserve"> operator internal network. For this purpose, one possible option is to study </w:t>
      </w:r>
      <w:r w:rsidR="00667134">
        <w:t>the legacy UE attach</w:t>
      </w:r>
      <w:r w:rsidR="00C763D9">
        <w:t xml:space="preserve"> procedure</w:t>
      </w:r>
      <w:r w:rsidR="00094EFA">
        <w:t xml:space="preserve"> shown in figure </w:t>
      </w:r>
      <w:r w:rsidR="00506989">
        <w:t>1</w:t>
      </w:r>
      <w:r w:rsidR="00C763D9">
        <w:t xml:space="preserve"> and </w:t>
      </w:r>
      <w:r w:rsidR="00CB3119">
        <w:t xml:space="preserve">tailor </w:t>
      </w:r>
      <w:r w:rsidR="00C763D9">
        <w:t xml:space="preserve">it to </w:t>
      </w:r>
      <w:r w:rsidR="00CB3119">
        <w:t xml:space="preserve">meet </w:t>
      </w:r>
      <w:r w:rsidR="00C763D9">
        <w:t>the requirements</w:t>
      </w:r>
      <w:r w:rsidR="003078EF">
        <w:t xml:space="preserve"> of</w:t>
      </w:r>
      <w:r w:rsidR="00CB3119">
        <w:t xml:space="preserve"> </w:t>
      </w:r>
      <w:r w:rsidR="00DA416C">
        <w:t xml:space="preserve">an </w:t>
      </w:r>
      <w:r w:rsidR="00CB3119">
        <w:t>IAB node</w:t>
      </w:r>
      <w:r w:rsidR="00506989">
        <w:t xml:space="preserve"> (as shown in figure 2)</w:t>
      </w:r>
      <w:r w:rsidR="00667134">
        <w:t>.</w:t>
      </w:r>
      <w:r w:rsidR="00CB3119">
        <w:t xml:space="preserve"> </w:t>
      </w:r>
      <w:r w:rsidR="00274E1D">
        <w:t>One promising modification is t</w:t>
      </w:r>
      <w:r w:rsidR="00506989">
        <w:t>he</w:t>
      </w:r>
      <w:r w:rsidR="00274E1D">
        <w:t xml:space="preserve"> use </w:t>
      </w:r>
      <w:r w:rsidR="00506989">
        <w:t xml:space="preserve">of </w:t>
      </w:r>
      <w:r w:rsidR="00274E1D">
        <w:t xml:space="preserve">a specific network slice for IAB nodes </w:t>
      </w:r>
      <w:r w:rsidR="00506989">
        <w:t xml:space="preserve">when they </w:t>
      </w:r>
      <w:r w:rsidR="00274E1D">
        <w:t xml:space="preserve">establish connectivity. This would make it possible for the RAN nodes serving the IAB node to </w:t>
      </w:r>
      <w:r w:rsidR="005C3119">
        <w:rPr>
          <w:lang w:val="en-US"/>
        </w:rPr>
        <w:t>reach OAM functionality for initial OAM configuration</w:t>
      </w:r>
      <w:r w:rsidR="005C3119">
        <w:t xml:space="preserve"> and </w:t>
      </w:r>
      <w:r w:rsidR="00274E1D">
        <w:t>select</w:t>
      </w:r>
      <w:r w:rsidR="005C3119">
        <w:t>s</w:t>
      </w:r>
      <w:r w:rsidR="00274E1D">
        <w:t xml:space="preserve"> a specific 5GC instance serving IAB nodes. </w:t>
      </w:r>
    </w:p>
    <w:p w14:paraId="3A80E610" w14:textId="6B2045E0" w:rsidR="00506989" w:rsidRDefault="00506989" w:rsidP="00F90089">
      <w:r w:rsidRPr="00506989">
        <w:t>Additionally, an IAB node authentication process could be different than that of legacy UE as the IAB node is a network node serving several UEs and may have different security requirements. Similarly, the mobility management is not required for physically fixed IAB node, which could potenti</w:t>
      </w:r>
      <w:r>
        <w:t>ally simplify some functionalities</w:t>
      </w:r>
      <w:r w:rsidRPr="00506989">
        <w:t>. It also seems beneficial to utilize the UP/CP split of the 5GC to put the UPF functionality for the IAB nodes closer to the RAN to allow optimized routing of RAN signalling and data.</w:t>
      </w:r>
    </w:p>
    <w:p w14:paraId="3B6A7FE9" w14:textId="5F658A42" w:rsidR="00A9131A" w:rsidRDefault="00A9131A" w:rsidP="00A9131A">
      <w:pPr>
        <w:pStyle w:val="Proposal"/>
        <w:tabs>
          <w:tab w:val="clear" w:pos="1304"/>
        </w:tabs>
        <w:ind w:left="1701" w:hanging="1701"/>
        <w:rPr>
          <w:sz w:val="16"/>
        </w:rPr>
      </w:pPr>
      <w:bookmarkStart w:id="15" w:name="_Toc506553113"/>
      <w:bookmarkStart w:id="16" w:name="_Toc506553376"/>
      <w:bookmarkStart w:id="17" w:name="_Toc506553480"/>
      <w:bookmarkStart w:id="18" w:name="_Toc506553635"/>
      <w:bookmarkStart w:id="19" w:name="_Toc506553114"/>
      <w:bookmarkStart w:id="20" w:name="_Toc506553377"/>
      <w:bookmarkStart w:id="21" w:name="_Toc506553481"/>
      <w:bookmarkStart w:id="22" w:name="_Toc506553636"/>
      <w:bookmarkStart w:id="23" w:name="_Toc506449655"/>
      <w:bookmarkStart w:id="24" w:name="_Toc506464435"/>
      <w:bookmarkStart w:id="25" w:name="_Toc506467163"/>
      <w:bookmarkStart w:id="26" w:name="_Toc506468603"/>
      <w:bookmarkStart w:id="27" w:name="_Toc506468651"/>
      <w:bookmarkStart w:id="28" w:name="_Toc506483500"/>
      <w:bookmarkStart w:id="29" w:name="_Toc506535313"/>
      <w:bookmarkStart w:id="30" w:name="_Toc506549310"/>
      <w:bookmarkStart w:id="31" w:name="_Toc506549456"/>
      <w:bookmarkStart w:id="32" w:name="_Toc506549491"/>
      <w:bookmarkStart w:id="33" w:name="_Toc506553115"/>
      <w:bookmarkStart w:id="34" w:name="_Toc506553378"/>
      <w:bookmarkStart w:id="35" w:name="_Toc506553482"/>
      <w:bookmarkStart w:id="36" w:name="_Toc506553637"/>
      <w:bookmarkStart w:id="37" w:name="_Toc506563511"/>
      <w:bookmarkStart w:id="38" w:name="_Toc513551624"/>
      <w:bookmarkEnd w:id="15"/>
      <w:bookmarkEnd w:id="16"/>
      <w:bookmarkEnd w:id="17"/>
      <w:bookmarkEnd w:id="18"/>
      <w:bookmarkEnd w:id="19"/>
      <w:bookmarkEnd w:id="20"/>
      <w:bookmarkEnd w:id="21"/>
      <w:bookmarkEnd w:id="22"/>
      <w:r w:rsidRPr="00A9131A">
        <w:rPr>
          <w:szCs w:val="24"/>
        </w:rPr>
        <w:t xml:space="preserve">Further studies should be conducted to modify/optimize the existing UE attach procedure or propose a new </w:t>
      </w:r>
      <w:r w:rsidR="001F2F6C">
        <w:rPr>
          <w:szCs w:val="24"/>
        </w:rPr>
        <w:t>setup procedure</w:t>
      </w:r>
      <w:r w:rsidRPr="00A9131A">
        <w:rPr>
          <w:szCs w:val="24"/>
        </w:rPr>
        <w:t xml:space="preserve"> for IAB connectivity to operator</w:t>
      </w:r>
      <w:r w:rsidR="00EC5CEF">
        <w:rPr>
          <w:szCs w:val="24"/>
        </w:rPr>
        <w:t xml:space="preserve"> internal</w:t>
      </w:r>
      <w:r w:rsidRPr="00A9131A">
        <w:rPr>
          <w:szCs w:val="24"/>
        </w:rPr>
        <w:t xml:space="preserve"> network</w:t>
      </w:r>
      <w:r w:rsidRPr="00A9131A">
        <w:rPr>
          <w:sz w:val="16"/>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A9131A">
        <w:rPr>
          <w:sz w:val="16"/>
        </w:rPr>
        <w:t xml:space="preserve"> </w:t>
      </w:r>
    </w:p>
    <w:p w14:paraId="5575F877" w14:textId="7F21FDDF" w:rsidR="00274E1D" w:rsidRPr="00A9131A" w:rsidRDefault="00274E1D" w:rsidP="00A9131A">
      <w:pPr>
        <w:pStyle w:val="Proposal"/>
        <w:tabs>
          <w:tab w:val="clear" w:pos="1304"/>
        </w:tabs>
        <w:ind w:left="1701" w:hanging="1701"/>
        <w:rPr>
          <w:sz w:val="16"/>
        </w:rPr>
      </w:pPr>
      <w:bookmarkStart w:id="39" w:name="_Toc506549311"/>
      <w:bookmarkStart w:id="40" w:name="_Toc506549457"/>
      <w:bookmarkStart w:id="41" w:name="_Toc506549492"/>
      <w:bookmarkStart w:id="42" w:name="_Toc506553116"/>
      <w:bookmarkStart w:id="43" w:name="_Toc506553379"/>
      <w:bookmarkStart w:id="44" w:name="_Toc506553483"/>
      <w:bookmarkStart w:id="45" w:name="_Toc506553638"/>
      <w:bookmarkStart w:id="46" w:name="_Toc506563512"/>
      <w:bookmarkStart w:id="47" w:name="_Toc513551625"/>
      <w:r>
        <w:rPr>
          <w:szCs w:val="24"/>
        </w:rPr>
        <w:t xml:space="preserve">Assigning IAB nodes to a specific network slice could be beneficial to support </w:t>
      </w:r>
      <w:r w:rsidR="00506989">
        <w:rPr>
          <w:szCs w:val="24"/>
        </w:rPr>
        <w:t xml:space="preserve">specific </w:t>
      </w:r>
      <w:r>
        <w:rPr>
          <w:szCs w:val="24"/>
        </w:rPr>
        <w:t>5GC instances</w:t>
      </w:r>
      <w:r w:rsidR="00506989">
        <w:rPr>
          <w:szCs w:val="24"/>
        </w:rPr>
        <w:t>/functionalities</w:t>
      </w:r>
      <w:r>
        <w:rPr>
          <w:szCs w:val="24"/>
        </w:rPr>
        <w:t xml:space="preserve"> </w:t>
      </w:r>
      <w:r w:rsidR="00506989">
        <w:rPr>
          <w:szCs w:val="24"/>
        </w:rPr>
        <w:t xml:space="preserve">dedicated to </w:t>
      </w:r>
      <w:r>
        <w:rPr>
          <w:szCs w:val="24"/>
        </w:rPr>
        <w:t xml:space="preserve">serving </w:t>
      </w:r>
      <w:r w:rsidR="00506989">
        <w:rPr>
          <w:szCs w:val="24"/>
        </w:rPr>
        <w:t xml:space="preserve">the </w:t>
      </w:r>
      <w:r>
        <w:rPr>
          <w:szCs w:val="24"/>
        </w:rPr>
        <w:t>IAB nodes.</w:t>
      </w:r>
      <w:bookmarkEnd w:id="39"/>
      <w:bookmarkEnd w:id="40"/>
      <w:bookmarkEnd w:id="41"/>
      <w:bookmarkEnd w:id="42"/>
      <w:bookmarkEnd w:id="43"/>
      <w:bookmarkEnd w:id="44"/>
      <w:bookmarkEnd w:id="45"/>
      <w:bookmarkEnd w:id="46"/>
      <w:bookmarkEnd w:id="47"/>
    </w:p>
    <w:p w14:paraId="2A0B6166" w14:textId="0331F7B1" w:rsidR="00F90089" w:rsidRDefault="003238C0" w:rsidP="001B6FB2">
      <w:pPr>
        <w:jc w:val="center"/>
      </w:pPr>
      <w:r>
        <w:rPr>
          <w:noProof/>
          <w:sz w:val="16"/>
          <w:szCs w:val="16"/>
        </w:rPr>
        <w:lastRenderedPageBreak/>
        <w:drawing>
          <wp:inline distT="0" distB="0" distL="0" distR="0" wp14:anchorId="3B55E2E8" wp14:editId="75324992">
            <wp:extent cx="6120765" cy="31261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Epartof IAB.jpg"/>
                    <pic:cNvPicPr/>
                  </pic:nvPicPr>
                  <pic:blipFill>
                    <a:blip r:embed="rId14"/>
                    <a:stretch>
                      <a:fillRect/>
                    </a:stretch>
                  </pic:blipFill>
                  <pic:spPr>
                    <a:xfrm>
                      <a:off x="0" y="0"/>
                      <a:ext cx="6120765" cy="3126105"/>
                    </a:xfrm>
                    <a:prstGeom prst="rect">
                      <a:avLst/>
                    </a:prstGeom>
                  </pic:spPr>
                </pic:pic>
              </a:graphicData>
            </a:graphic>
          </wp:inline>
        </w:drawing>
      </w:r>
    </w:p>
    <w:p w14:paraId="3C3AAF67" w14:textId="767F5FD4" w:rsidR="00F90089" w:rsidRDefault="00F90089" w:rsidP="00C00C28">
      <w:pPr>
        <w:ind w:left="2268"/>
        <w:rPr>
          <w:b/>
          <w:bCs/>
        </w:rPr>
      </w:pPr>
      <w:r w:rsidRPr="00F90089">
        <w:rPr>
          <w:b/>
          <w:bCs/>
        </w:rPr>
        <w:t xml:space="preserve">Figure </w:t>
      </w:r>
      <w:r w:rsidR="000A301B">
        <w:rPr>
          <w:b/>
          <w:bCs/>
        </w:rPr>
        <w:t>2</w:t>
      </w:r>
      <w:r w:rsidRPr="00F90089">
        <w:rPr>
          <w:b/>
          <w:bCs/>
        </w:rPr>
        <w:t xml:space="preserve"> </w:t>
      </w:r>
      <w:r w:rsidR="00506989">
        <w:rPr>
          <w:b/>
          <w:bCs/>
        </w:rPr>
        <w:t xml:space="preserve">High level illustration of </w:t>
      </w:r>
      <w:r w:rsidR="00667134">
        <w:rPr>
          <w:b/>
          <w:bCs/>
        </w:rPr>
        <w:t xml:space="preserve">IAB node </w:t>
      </w:r>
      <w:r w:rsidR="00B779B9">
        <w:rPr>
          <w:b/>
          <w:bCs/>
        </w:rPr>
        <w:t>connectivity procedure</w:t>
      </w:r>
    </w:p>
    <w:p w14:paraId="42780578" w14:textId="77777777" w:rsidR="000A1D36" w:rsidRPr="00F90089" w:rsidRDefault="000A1D36" w:rsidP="00F90089">
      <w:pPr>
        <w:ind w:left="2835"/>
        <w:rPr>
          <w:b/>
          <w:bCs/>
        </w:rPr>
      </w:pPr>
    </w:p>
    <w:p w14:paraId="1912DDF8" w14:textId="342E1854" w:rsidR="00667134" w:rsidRDefault="00814E0B">
      <w:pPr>
        <w:pStyle w:val="Heading2"/>
      </w:pPr>
      <w:bookmarkStart w:id="48" w:name="_Hlk506479619"/>
      <w:r>
        <w:t xml:space="preserve">Phase 2: </w:t>
      </w:r>
      <w:r w:rsidR="00667134">
        <w:t>IAB node setup as a DU</w:t>
      </w:r>
    </w:p>
    <w:bookmarkEnd w:id="48"/>
    <w:p w14:paraId="605D78CC" w14:textId="2C7ED911" w:rsidR="00233636" w:rsidRDefault="00BB2CD1" w:rsidP="000F143D">
      <w:pPr>
        <w:rPr>
          <w:lang w:val="en-US"/>
        </w:rPr>
      </w:pPr>
      <w:r>
        <w:t>The signalling flow for activating the DU functionality of an IAB node is shown in figure 3</w:t>
      </w:r>
      <w:r w:rsidR="00233636">
        <w:t>, which is adopted from the F1 setup procedure of</w:t>
      </w:r>
      <w:r w:rsidR="00FC02F4">
        <w:t xml:space="preserve"> </w:t>
      </w:r>
      <w:r w:rsidR="00FC02F4" w:rsidRPr="00C00C28">
        <w:t>TS 38.470</w:t>
      </w:r>
      <w:r>
        <w:t xml:space="preserve">. </w:t>
      </w:r>
      <w:r w:rsidR="00D90781">
        <w:t xml:space="preserve">After establishing connectivity to an operator internal network, the </w:t>
      </w:r>
      <w:r w:rsidR="00E77B79">
        <w:t>DU (function</w:t>
      </w:r>
      <w:r w:rsidR="009432E4">
        <w:t>ality</w:t>
      </w:r>
      <w:r w:rsidR="00E77B79">
        <w:t xml:space="preserve"> of IAB node) and its cells/sectors need to be configured by OAM before the DU can send an F1 Setup Request message to its corresponding CU, i.e., IAB-CU. </w:t>
      </w:r>
      <w:r w:rsidR="00E77B79">
        <w:rPr>
          <w:lang w:val="en-US"/>
        </w:rPr>
        <w:t xml:space="preserve">Once the </w:t>
      </w:r>
      <w:r w:rsidR="00106B30">
        <w:rPr>
          <w:lang w:val="en-US"/>
        </w:rPr>
        <w:t>DU (</w:t>
      </w:r>
      <w:r w:rsidR="009432E4" w:rsidRPr="009432E4">
        <w:rPr>
          <w:lang w:val="en-US"/>
        </w:rPr>
        <w:t>functionality of IAB node</w:t>
      </w:r>
      <w:r w:rsidR="00106B30">
        <w:rPr>
          <w:lang w:val="en-US"/>
        </w:rPr>
        <w:t>)</w:t>
      </w:r>
      <w:r w:rsidR="00E77B79">
        <w:rPr>
          <w:lang w:val="en-US"/>
        </w:rPr>
        <w:t xml:space="preserve"> and its cells/sectors </w:t>
      </w:r>
      <w:r w:rsidR="00106B30">
        <w:rPr>
          <w:lang w:val="en-US"/>
        </w:rPr>
        <w:t>are configured by OAM</w:t>
      </w:r>
      <w:r w:rsidR="00E77B79">
        <w:rPr>
          <w:lang w:val="en-US"/>
        </w:rPr>
        <w:t>, t</w:t>
      </w:r>
      <w:r w:rsidR="00106B30">
        <w:rPr>
          <w:lang w:val="en-US"/>
        </w:rPr>
        <w:t>he DU</w:t>
      </w:r>
      <w:r w:rsidR="00E77B79">
        <w:rPr>
          <w:lang w:val="en-US"/>
        </w:rPr>
        <w:t xml:space="preserve"> </w:t>
      </w:r>
      <w:r w:rsidR="00106B30">
        <w:rPr>
          <w:lang w:val="en-US"/>
        </w:rPr>
        <w:t>has TNL connectivity to the IAB-CU</w:t>
      </w:r>
      <w:r w:rsidR="007772C0">
        <w:rPr>
          <w:lang w:val="en-US"/>
        </w:rPr>
        <w:t>. The</w:t>
      </w:r>
      <w:r w:rsidR="005C7905">
        <w:rPr>
          <w:lang w:val="en-US"/>
        </w:rPr>
        <w:t xml:space="preserve"> DU</w:t>
      </w:r>
      <w:r w:rsidR="00106B30">
        <w:rPr>
          <w:lang w:val="en-US"/>
        </w:rPr>
        <w:t xml:space="preserve"> </w:t>
      </w:r>
      <w:r w:rsidR="005C7905">
        <w:rPr>
          <w:lang w:val="en-US"/>
        </w:rPr>
        <w:t>sends an F1 Setup Request message to the IAB-CU</w:t>
      </w:r>
      <w:r w:rsidR="00E77B79">
        <w:rPr>
          <w:lang w:val="en-US"/>
        </w:rPr>
        <w:t xml:space="preserve"> including a list of cells/sectors that are configured and ready to be activated</w:t>
      </w:r>
      <w:r w:rsidR="005C7905">
        <w:rPr>
          <w:lang w:val="en-US"/>
        </w:rPr>
        <w:t xml:space="preserve">. </w:t>
      </w:r>
      <w:r w:rsidR="00E77B79">
        <w:t xml:space="preserve">The IAB-CU ensures the connectivity to the core network, and thus, it initiates either the NG Setup or the gNB Configuration Update procedure toward the 5GC. </w:t>
      </w:r>
      <w:r w:rsidR="0087079F">
        <w:rPr>
          <w:lang w:val="en-US"/>
        </w:rPr>
        <w:t>The IAB-CU send</w:t>
      </w:r>
      <w:r w:rsidR="00181212">
        <w:rPr>
          <w:lang w:val="en-US"/>
        </w:rPr>
        <w:t>s</w:t>
      </w:r>
      <w:r w:rsidR="0087079F">
        <w:rPr>
          <w:lang w:val="en-US"/>
        </w:rPr>
        <w:t xml:space="preserve"> an F1 Setup Response to the DU (</w:t>
      </w:r>
      <w:r w:rsidR="009432E4" w:rsidRPr="009432E4">
        <w:rPr>
          <w:lang w:val="en-US"/>
        </w:rPr>
        <w:t>functionality of IAB node</w:t>
      </w:r>
      <w:r w:rsidR="0087079F">
        <w:rPr>
          <w:lang w:val="en-US"/>
        </w:rPr>
        <w:t xml:space="preserve">) that optionally included a list of cells/sectors to be activated. If the DU succeeds to activate the cell(s)/sector(s), then the cells/sectors become operational. </w:t>
      </w:r>
    </w:p>
    <w:p w14:paraId="042C4617" w14:textId="77FB79B5" w:rsidR="000F143D" w:rsidRPr="0001686D" w:rsidRDefault="00181212" w:rsidP="000F143D">
      <w:r>
        <w:rPr>
          <w:lang w:val="en-US"/>
        </w:rPr>
        <w:t xml:space="preserve">Similarly, the IAB-CU may </w:t>
      </w:r>
      <w:r w:rsidR="00233636">
        <w:rPr>
          <w:lang w:val="en-US"/>
        </w:rPr>
        <w:t xml:space="preserve">later </w:t>
      </w:r>
      <w:r>
        <w:rPr>
          <w:lang w:val="en-US"/>
        </w:rPr>
        <w:t xml:space="preserve">send an IAB-CU Configuration Update message to the DU that optionally includes a list of cells/sectors to be activated in case these cells/sectors were not activated </w:t>
      </w:r>
      <w:r w:rsidR="007503F9">
        <w:rPr>
          <w:lang w:val="en-US"/>
        </w:rPr>
        <w:t>through</w:t>
      </w:r>
      <w:r>
        <w:rPr>
          <w:lang w:val="en-US"/>
        </w:rPr>
        <w:t xml:space="preserve"> the F1 Setup Response message.</w:t>
      </w:r>
      <w:r w:rsidR="0001686D">
        <w:rPr>
          <w:lang w:val="en-US"/>
        </w:rPr>
        <w:t xml:space="preserve"> </w:t>
      </w:r>
      <w:r w:rsidR="00A81686">
        <w:rPr>
          <w:lang w:val="en-US"/>
        </w:rPr>
        <w:t xml:space="preserve">The F1AP message </w:t>
      </w:r>
      <w:r w:rsidR="00D241AA">
        <w:rPr>
          <w:lang w:val="en-US"/>
        </w:rPr>
        <w:t xml:space="preserve">sent by the </w:t>
      </w:r>
      <w:r w:rsidR="00AC45BF">
        <w:rPr>
          <w:lang w:val="en-US"/>
        </w:rPr>
        <w:t xml:space="preserve">DU </w:t>
      </w:r>
      <w:r w:rsidR="00AF683E">
        <w:rPr>
          <w:lang w:val="en-US"/>
        </w:rPr>
        <w:t xml:space="preserve">can </w:t>
      </w:r>
      <w:r w:rsidR="00AC45BF">
        <w:rPr>
          <w:lang w:val="en-US"/>
        </w:rPr>
        <w:t>use DRB</w:t>
      </w:r>
      <w:r w:rsidR="00233636">
        <w:rPr>
          <w:lang w:val="en-US"/>
        </w:rPr>
        <w:t>s</w:t>
      </w:r>
      <w:r w:rsidR="00AC45BF">
        <w:rPr>
          <w:lang w:val="en-US"/>
        </w:rPr>
        <w:t xml:space="preserve"> at the link between IAB node and DU entity of</w:t>
      </w:r>
      <w:r w:rsidR="00DD513E">
        <w:rPr>
          <w:lang w:val="en-US"/>
        </w:rPr>
        <w:t xml:space="preserve"> the donor </w:t>
      </w:r>
      <w:r w:rsidR="00AC45BF" w:rsidRPr="00522176">
        <w:rPr>
          <w:lang w:val="en-US"/>
        </w:rPr>
        <w:t>gNB-CU/DU</w:t>
      </w:r>
      <w:r w:rsidR="00233636">
        <w:rPr>
          <w:lang w:val="en-US"/>
        </w:rPr>
        <w:t xml:space="preserve"> that </w:t>
      </w:r>
      <w:r w:rsidR="000B14B0">
        <w:rPr>
          <w:lang w:val="en-US"/>
        </w:rPr>
        <w:t xml:space="preserve">was </w:t>
      </w:r>
      <w:r w:rsidR="00233636">
        <w:rPr>
          <w:lang w:val="en-US"/>
        </w:rPr>
        <w:t>setup during the IAB connectivity establishment procedure discussed in section 3.1</w:t>
      </w:r>
      <w:r w:rsidR="00AC45BF">
        <w:rPr>
          <w:lang w:val="en-US"/>
        </w:rPr>
        <w:t xml:space="preserve">. </w:t>
      </w:r>
      <w:r w:rsidR="00233636">
        <w:rPr>
          <w:lang w:val="en-US"/>
        </w:rPr>
        <w:t>For example,</w:t>
      </w:r>
      <w:r w:rsidR="00F30B12">
        <w:rPr>
          <w:lang w:val="en-US"/>
        </w:rPr>
        <w:t xml:space="preserve"> </w:t>
      </w:r>
      <w:r w:rsidR="00233636">
        <w:rPr>
          <w:lang w:val="en-US"/>
        </w:rPr>
        <w:t xml:space="preserve">the F1AP messages </w:t>
      </w:r>
      <w:r w:rsidR="00F30B12">
        <w:rPr>
          <w:lang w:val="en-US"/>
        </w:rPr>
        <w:t xml:space="preserve">can be mapped </w:t>
      </w:r>
      <w:r w:rsidR="00233636">
        <w:rPr>
          <w:lang w:val="en-US"/>
        </w:rPr>
        <w:t xml:space="preserve">to </w:t>
      </w:r>
      <w:r w:rsidR="00F30B12">
        <w:rPr>
          <w:lang w:val="en-US"/>
        </w:rPr>
        <w:t xml:space="preserve">a higher priority Radio bearer compared to the ones </w:t>
      </w:r>
      <w:r w:rsidR="00233636">
        <w:rPr>
          <w:lang w:val="en-US"/>
        </w:rPr>
        <w:t xml:space="preserve">to be </w:t>
      </w:r>
      <w:r w:rsidR="00F30B12">
        <w:rPr>
          <w:lang w:val="en-US"/>
        </w:rPr>
        <w:t xml:space="preserve">used </w:t>
      </w:r>
      <w:r w:rsidR="00233636">
        <w:rPr>
          <w:lang w:val="en-US"/>
        </w:rPr>
        <w:t xml:space="preserve">later </w:t>
      </w:r>
      <w:r w:rsidR="00F30B12">
        <w:rPr>
          <w:lang w:val="en-US"/>
        </w:rPr>
        <w:t xml:space="preserve">for </w:t>
      </w:r>
      <w:r w:rsidR="00233636">
        <w:rPr>
          <w:lang w:val="en-US"/>
        </w:rPr>
        <w:t xml:space="preserve">the </w:t>
      </w:r>
      <w:r w:rsidR="00F30B12">
        <w:rPr>
          <w:lang w:val="en-US"/>
        </w:rPr>
        <w:t xml:space="preserve">data of </w:t>
      </w:r>
      <w:r w:rsidR="00233636">
        <w:rPr>
          <w:lang w:val="en-US"/>
        </w:rPr>
        <w:t xml:space="preserve">UEs connected to </w:t>
      </w:r>
      <w:r w:rsidR="00F30B12">
        <w:rPr>
          <w:lang w:val="en-US"/>
        </w:rPr>
        <w:t xml:space="preserve">the IAB node. The example in figure 3 shows one variant of how the F1 message is delivered using the user plane at the intermediate links. However, other </w:t>
      </w:r>
      <w:r w:rsidR="004679DC">
        <w:rPr>
          <w:lang w:val="en-US"/>
        </w:rPr>
        <w:t>alternatives can be explored for delivering the F1 message.</w:t>
      </w:r>
    </w:p>
    <w:p w14:paraId="1EF7CF96" w14:textId="77777777" w:rsidR="00A9131A" w:rsidRDefault="00A9131A" w:rsidP="00A9131A">
      <w:pPr>
        <w:pStyle w:val="TOC1"/>
        <w:spacing w:after="240"/>
        <w:jc w:val="both"/>
        <w:rPr>
          <w:noProof w:val="0"/>
          <w:lang w:val="en-GB"/>
        </w:rPr>
      </w:pPr>
    </w:p>
    <w:p w14:paraId="23E36072" w14:textId="0C5BA441" w:rsidR="00A9131A" w:rsidRPr="00A9131A" w:rsidRDefault="00386A9D" w:rsidP="002C7C65">
      <w:pPr>
        <w:pStyle w:val="Proposal"/>
        <w:jc w:val="left"/>
        <w:rPr>
          <w:sz w:val="16"/>
        </w:rPr>
      </w:pPr>
      <w:bookmarkStart w:id="49" w:name="_Toc506553117"/>
      <w:bookmarkStart w:id="50" w:name="_Toc506553380"/>
      <w:bookmarkStart w:id="51" w:name="_Toc506553484"/>
      <w:bookmarkStart w:id="52" w:name="_Toc506553639"/>
      <w:bookmarkStart w:id="53" w:name="_Toc506449656"/>
      <w:bookmarkStart w:id="54" w:name="_Toc506464436"/>
      <w:bookmarkStart w:id="55" w:name="_Toc506467164"/>
      <w:bookmarkStart w:id="56" w:name="_Toc506468604"/>
      <w:bookmarkStart w:id="57" w:name="_Toc506468652"/>
      <w:bookmarkStart w:id="58" w:name="_Toc506483501"/>
      <w:bookmarkStart w:id="59" w:name="_Toc506535314"/>
      <w:bookmarkStart w:id="60" w:name="_Toc506549312"/>
      <w:bookmarkStart w:id="61" w:name="_Toc506549458"/>
      <w:bookmarkStart w:id="62" w:name="_Toc506549493"/>
      <w:bookmarkStart w:id="63" w:name="_Toc506563513"/>
      <w:bookmarkStart w:id="64" w:name="_Toc513551626"/>
      <w:r>
        <w:rPr>
          <w:szCs w:val="24"/>
        </w:rPr>
        <w:t xml:space="preserve">The F1 interface is used </w:t>
      </w:r>
      <w:r w:rsidR="00A97C6F">
        <w:rPr>
          <w:szCs w:val="24"/>
        </w:rPr>
        <w:t>to setup the logical connection</w:t>
      </w:r>
      <w:r w:rsidR="00233636">
        <w:rPr>
          <w:szCs w:val="24"/>
        </w:rPr>
        <w:t xml:space="preserve"> between the IAB node and its</w:t>
      </w:r>
      <w:r w:rsidR="00A97C6F">
        <w:rPr>
          <w:szCs w:val="24"/>
        </w:rPr>
        <w:t xml:space="preserve"> CU</w:t>
      </w:r>
      <w:r w:rsidR="00233636">
        <w:rPr>
          <w:szCs w:val="24"/>
        </w:rPr>
        <w:t xml:space="preserve">. </w:t>
      </w:r>
      <w:r>
        <w:rPr>
          <w:szCs w:val="24"/>
        </w:rPr>
        <w:t>T</w:t>
      </w:r>
      <w:r w:rsidR="00A97C6F">
        <w:rPr>
          <w:szCs w:val="24"/>
        </w:rPr>
        <w:t>he d</w:t>
      </w:r>
      <w:r>
        <w:rPr>
          <w:szCs w:val="24"/>
        </w:rPr>
        <w:t>etails of the transportation of the F1 UP/CP messages over the backhaul link (protocols, security aspects, etc)</w:t>
      </w:r>
      <w:r w:rsidR="00A97C6F">
        <w:rPr>
          <w:szCs w:val="24"/>
        </w:rPr>
        <w:t xml:space="preserve"> </w:t>
      </w:r>
      <w:r>
        <w:rPr>
          <w:szCs w:val="24"/>
        </w:rPr>
        <w:t>are FFS.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91BBC7E" w14:textId="77777777" w:rsidR="00A9131A" w:rsidRPr="00A9131A" w:rsidRDefault="00A9131A" w:rsidP="000F143D"/>
    <w:p w14:paraId="37EF7386" w14:textId="450619AB" w:rsidR="007B7AAF" w:rsidRPr="007B7AAF" w:rsidRDefault="007B7AAF" w:rsidP="000F143D"/>
    <w:p w14:paraId="161398D1" w14:textId="77777777" w:rsidR="007B7AAF" w:rsidRPr="007B7AAF" w:rsidRDefault="007B7AAF" w:rsidP="000F143D"/>
    <w:p w14:paraId="567546BE" w14:textId="3BE126F8" w:rsidR="00667134" w:rsidRPr="00667134" w:rsidRDefault="003238C0" w:rsidP="00F42A54">
      <w:pPr>
        <w:jc w:val="right"/>
      </w:pPr>
      <w:r>
        <w:rPr>
          <w:noProof/>
        </w:rPr>
        <w:lastRenderedPageBreak/>
        <w:drawing>
          <wp:inline distT="0" distB="0" distL="0" distR="0" wp14:anchorId="20EA00DE" wp14:editId="100BF932">
            <wp:extent cx="6053275" cy="4320000"/>
            <wp:effectExtent l="0" t="0" r="508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w_DU_IAB.jpg"/>
                    <pic:cNvPicPr/>
                  </pic:nvPicPr>
                  <pic:blipFill>
                    <a:blip r:embed="rId15"/>
                    <a:stretch>
                      <a:fillRect/>
                    </a:stretch>
                  </pic:blipFill>
                  <pic:spPr>
                    <a:xfrm>
                      <a:off x="0" y="0"/>
                      <a:ext cx="6053275" cy="4320000"/>
                    </a:xfrm>
                    <a:prstGeom prst="rect">
                      <a:avLst/>
                    </a:prstGeom>
                  </pic:spPr>
                </pic:pic>
              </a:graphicData>
            </a:graphic>
          </wp:inline>
        </w:drawing>
      </w:r>
    </w:p>
    <w:p w14:paraId="28E539C6" w14:textId="05DAB2F4" w:rsidR="00FC5665" w:rsidRDefault="00667134" w:rsidP="009C6F07">
      <w:pPr>
        <w:ind w:left="2835" w:firstLine="567"/>
        <w:rPr>
          <w:b/>
          <w:bCs/>
        </w:rPr>
      </w:pPr>
      <w:r w:rsidRPr="00667134">
        <w:rPr>
          <w:b/>
          <w:bCs/>
        </w:rPr>
        <w:t xml:space="preserve">Figure </w:t>
      </w:r>
      <w:r w:rsidR="000A301B">
        <w:rPr>
          <w:b/>
          <w:bCs/>
        </w:rPr>
        <w:t>3</w:t>
      </w:r>
      <w:r w:rsidRPr="00667134">
        <w:rPr>
          <w:b/>
          <w:bCs/>
        </w:rPr>
        <w:t xml:space="preserve"> IAB node setup as a </w:t>
      </w:r>
      <w:r>
        <w:rPr>
          <w:b/>
          <w:bCs/>
        </w:rPr>
        <w:t>DU</w:t>
      </w:r>
    </w:p>
    <w:p w14:paraId="320FEECB" w14:textId="77777777" w:rsidR="009C6F07" w:rsidRPr="009C6F07" w:rsidRDefault="009C6F07" w:rsidP="009C6F07">
      <w:pPr>
        <w:ind w:left="2835" w:firstLine="567"/>
        <w:rPr>
          <w:b/>
          <w:bCs/>
        </w:rPr>
      </w:pPr>
    </w:p>
    <w:p w14:paraId="06589BF4" w14:textId="12C6506D" w:rsidR="00B0524F" w:rsidRDefault="00814E0B" w:rsidP="00B0524F">
      <w:pPr>
        <w:pStyle w:val="Heading2"/>
      </w:pPr>
      <w:r>
        <w:t xml:space="preserve">Phase 3: </w:t>
      </w:r>
      <w:r w:rsidR="00B0524F">
        <w:t>IAB node up and running</w:t>
      </w:r>
    </w:p>
    <w:p w14:paraId="3B2BE5A8" w14:textId="77777777" w:rsidR="00B0524F" w:rsidRPr="00B0524F" w:rsidRDefault="00B0524F" w:rsidP="00B0524F">
      <w:r w:rsidRPr="00B0524F">
        <w:t xml:space="preserve">Figure 4 shows an example where an IAB node is up and running, ready to serve UEs. Again, in this example the F1 message is delivered using the user plane at the intermediate links. Note that in this example, we have shown separate CUs for the IAB node and gNB-CU/DU for the sake of completeness, but they could actually be bundled together in one node. </w:t>
      </w:r>
    </w:p>
    <w:p w14:paraId="31AA0410" w14:textId="695CB1F3" w:rsidR="00B0524F" w:rsidRPr="009C6F07" w:rsidRDefault="00B0524F" w:rsidP="009C6F07">
      <w:pPr>
        <w:ind w:left="432"/>
        <w:jc w:val="center"/>
        <w:rPr>
          <w:b/>
        </w:rPr>
      </w:pPr>
      <w:r>
        <w:rPr>
          <w:noProof/>
        </w:rPr>
        <w:lastRenderedPageBreak/>
        <w:drawing>
          <wp:inline distT="0" distB="0" distL="0" distR="0" wp14:anchorId="35C9A568" wp14:editId="6598728B">
            <wp:extent cx="5818505" cy="43199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rt4.jpg"/>
                    <pic:cNvPicPr/>
                  </pic:nvPicPr>
                  <pic:blipFill>
                    <a:blip r:embed="rId16"/>
                    <a:stretch>
                      <a:fillRect/>
                    </a:stretch>
                  </pic:blipFill>
                  <pic:spPr>
                    <a:xfrm>
                      <a:off x="0" y="0"/>
                      <a:ext cx="5818505" cy="4319905"/>
                    </a:xfrm>
                    <a:prstGeom prst="rect">
                      <a:avLst/>
                    </a:prstGeom>
                  </pic:spPr>
                </pic:pic>
              </a:graphicData>
            </a:graphic>
          </wp:inline>
        </w:drawing>
      </w:r>
      <w:r w:rsidR="009C6F07" w:rsidRPr="009C6F07">
        <w:rPr>
          <w:b/>
        </w:rPr>
        <w:t>Figure 4 UE setup under an IAB node</w:t>
      </w:r>
    </w:p>
    <w:p w14:paraId="5474341A" w14:textId="6A4E4985" w:rsidR="00D0571A" w:rsidRDefault="00D0571A" w:rsidP="00D0571A">
      <w:pPr>
        <w:pStyle w:val="Heading1"/>
      </w:pPr>
      <w:r>
        <w:t xml:space="preserve">IAB </w:t>
      </w:r>
      <w:r w:rsidR="0082033E">
        <w:t>node</w:t>
      </w:r>
      <w:r w:rsidR="00636937">
        <w:t>s</w:t>
      </w:r>
      <w:r w:rsidR="0082033E">
        <w:t xml:space="preserve"> attached in cascade to the network</w:t>
      </w:r>
    </w:p>
    <w:p w14:paraId="4160E5ED" w14:textId="692E666D" w:rsidR="00BD3C61" w:rsidRPr="00BD3C61" w:rsidRDefault="00BD3C61" w:rsidP="00BD3C61">
      <w:r>
        <w:t>Figure 5 shows a</w:t>
      </w:r>
      <w:r w:rsidR="0082033E">
        <w:t xml:space="preserve">n example </w:t>
      </w:r>
      <w:r w:rsidR="00636937">
        <w:t>of how the IAB nodes are attached in cascade to the network.</w:t>
      </w:r>
      <w:r w:rsidR="002C1550">
        <w:t xml:space="preserve"> </w:t>
      </w:r>
      <w:r w:rsidR="00794050">
        <w:t xml:space="preserve">Note that the UE-functionality of the IAB node is denoted as MT (Mobile Termination). </w:t>
      </w:r>
      <w:r w:rsidR="00B4347B">
        <w:t>In th</w:t>
      </w:r>
      <w:r w:rsidR="009C2378">
        <w:t>is</w:t>
      </w:r>
      <w:r w:rsidR="00B4347B">
        <w:t xml:space="preserve"> multi-hop </w:t>
      </w:r>
      <w:r w:rsidR="003D2038">
        <w:t>example</w:t>
      </w:r>
      <w:r w:rsidR="00B4347B">
        <w:t xml:space="preserve">, </w:t>
      </w:r>
      <w:r w:rsidR="00794050">
        <w:t xml:space="preserve">the </w:t>
      </w:r>
      <w:r w:rsidR="00B4347B">
        <w:t>DU</w:t>
      </w:r>
      <w:r w:rsidR="00794050">
        <w:t>s</w:t>
      </w:r>
      <w:r w:rsidR="00B4347B">
        <w:t xml:space="preserve"> of the IAB nodes acquire the startup/pre-operational parameters </w:t>
      </w:r>
      <w:r w:rsidR="00794050">
        <w:t>(</w:t>
      </w:r>
      <w:r w:rsidR="00B4347B">
        <w:t>described in TS.38.470</w:t>
      </w:r>
      <w:r w:rsidR="00794050">
        <w:t>)</w:t>
      </w:r>
      <w:r w:rsidR="00B4347B">
        <w:t xml:space="preserve"> during the OAM procedure prior to the F1 setup.</w:t>
      </w:r>
      <w:r w:rsidR="00F410A5">
        <w:t xml:space="preserve"> In general, </w:t>
      </w:r>
      <w:r w:rsidR="00347D1C">
        <w:t xml:space="preserve">the </w:t>
      </w:r>
      <w:r w:rsidR="0050770A">
        <w:t>DU activate</w:t>
      </w:r>
      <w:r w:rsidR="00814E0B">
        <w:t>s</w:t>
      </w:r>
      <w:r w:rsidR="0050770A">
        <w:t xml:space="preserve"> the cells based on the information received in the F1 setup response. The MT part of the IAB node make</w:t>
      </w:r>
      <w:r w:rsidR="00E90531">
        <w:t>s</w:t>
      </w:r>
      <w:r w:rsidR="0050770A">
        <w:t xml:space="preserve"> a cell search based on the PSS-SSS and find</w:t>
      </w:r>
      <w:r w:rsidR="00E90531">
        <w:t>s</w:t>
      </w:r>
      <w:r w:rsidR="0050770A">
        <w:t xml:space="preserve"> the cell id, decoding the MIB and the SIBs. This </w:t>
      </w:r>
      <w:r w:rsidR="00E90531">
        <w:t>is</w:t>
      </w:r>
      <w:r w:rsidR="0050770A">
        <w:t xml:space="preserve"> </w:t>
      </w:r>
      <w:r w:rsidR="00347D1C">
        <w:t>follow</w:t>
      </w:r>
      <w:r w:rsidR="00E90531">
        <w:t xml:space="preserve">ed </w:t>
      </w:r>
      <w:r w:rsidR="0050770A">
        <w:t xml:space="preserve">by the RACH and RAR procedure and then by RRC connection request. </w:t>
      </w:r>
      <w:r w:rsidR="00E90531">
        <w:t>Th</w:t>
      </w:r>
      <w:r w:rsidR="00370865">
        <w:t>e</w:t>
      </w:r>
      <w:r w:rsidR="00E90531">
        <w:t xml:space="preserve"> </w:t>
      </w:r>
      <w:r w:rsidR="00370865">
        <w:t xml:space="preserve">same </w:t>
      </w:r>
      <w:r w:rsidR="00E90531">
        <w:t xml:space="preserve">cycle of </w:t>
      </w:r>
      <w:r w:rsidR="005224F3">
        <w:t>steps</w:t>
      </w:r>
      <w:r w:rsidR="00E90531">
        <w:t xml:space="preserve"> is repeated every time a new IAB node connects as a</w:t>
      </w:r>
      <w:r w:rsidR="003271EA">
        <w:t>n</w:t>
      </w:r>
      <w:r w:rsidR="00E90531">
        <w:t xml:space="preserve"> MT to the network via the already connected IAB nodes.</w:t>
      </w:r>
    </w:p>
    <w:p w14:paraId="420139B6" w14:textId="77777777" w:rsidR="009C6F07" w:rsidRPr="009C6F07" w:rsidRDefault="009C6F07" w:rsidP="009C6F07"/>
    <w:p w14:paraId="03CB3484" w14:textId="45B42555" w:rsidR="00D0571A" w:rsidRPr="00FC5665" w:rsidRDefault="0067081F" w:rsidP="0082033E">
      <w:r>
        <w:rPr>
          <w:noProof/>
        </w:rPr>
        <w:lastRenderedPageBreak/>
        <w:drawing>
          <wp:inline distT="0" distB="0" distL="0" distR="0" wp14:anchorId="795948E3" wp14:editId="2190A91B">
            <wp:extent cx="6110605" cy="4095750"/>
            <wp:effectExtent l="0" t="0" r="4445" b="0"/>
            <wp:docPr id="3" name="Picture 3" descr="C:\Users\ezmuhaj\AppData\Local\Avecto\DragAndDrop\Precon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AppData\Local\Avecto\DragAndDrop\Preconfig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0605" cy="4095750"/>
                    </a:xfrm>
                    <a:prstGeom prst="rect">
                      <a:avLst/>
                    </a:prstGeom>
                    <a:noFill/>
                    <a:ln>
                      <a:noFill/>
                    </a:ln>
                  </pic:spPr>
                </pic:pic>
              </a:graphicData>
            </a:graphic>
          </wp:inline>
        </w:drawing>
      </w:r>
    </w:p>
    <w:p w14:paraId="59A2D97F" w14:textId="1F487925" w:rsidR="00B37B2C" w:rsidRPr="0067081F" w:rsidRDefault="00D0571A" w:rsidP="0067081F">
      <w:pPr>
        <w:jc w:val="center"/>
        <w:rPr>
          <w:b/>
          <w:bCs/>
        </w:rPr>
      </w:pPr>
      <w:r w:rsidRPr="00F90089">
        <w:rPr>
          <w:b/>
          <w:bCs/>
        </w:rPr>
        <w:t xml:space="preserve">Figure </w:t>
      </w:r>
      <w:r>
        <w:rPr>
          <w:b/>
          <w:bCs/>
        </w:rPr>
        <w:t>5</w:t>
      </w:r>
      <w:r w:rsidRPr="00F90089">
        <w:rPr>
          <w:b/>
          <w:bCs/>
        </w:rPr>
        <w:t xml:space="preserve"> </w:t>
      </w:r>
      <w:r>
        <w:rPr>
          <w:b/>
          <w:bCs/>
        </w:rPr>
        <w:t xml:space="preserve">Signalling </w:t>
      </w:r>
      <w:r w:rsidR="003520E2">
        <w:rPr>
          <w:b/>
          <w:bCs/>
        </w:rPr>
        <w:t>flow</w:t>
      </w:r>
      <w:r w:rsidR="007A37FC">
        <w:rPr>
          <w:b/>
          <w:bCs/>
        </w:rPr>
        <w:t xml:space="preserve"> </w:t>
      </w:r>
      <w:r>
        <w:rPr>
          <w:b/>
          <w:bCs/>
        </w:rPr>
        <w:t>for multi</w:t>
      </w:r>
      <w:r w:rsidR="00BD3C61">
        <w:rPr>
          <w:b/>
          <w:bCs/>
        </w:rPr>
        <w:t>-</w:t>
      </w:r>
      <w:r>
        <w:rPr>
          <w:b/>
          <w:bCs/>
        </w:rPr>
        <w:t xml:space="preserve">hop </w:t>
      </w:r>
      <w:r w:rsidR="00BD3C61">
        <w:rPr>
          <w:b/>
          <w:bCs/>
        </w:rPr>
        <w:t xml:space="preserve">IAB </w:t>
      </w:r>
      <w:r w:rsidR="009C6F07">
        <w:rPr>
          <w:b/>
          <w:bCs/>
        </w:rPr>
        <w:t>setup</w:t>
      </w:r>
      <w:r>
        <w:rPr>
          <w:b/>
          <w:bCs/>
        </w:rPr>
        <w:t xml:space="preserve"> </w:t>
      </w:r>
    </w:p>
    <w:p w14:paraId="577EB2DB" w14:textId="3E6F1295" w:rsidR="00B37B2C" w:rsidRDefault="00B37B2C" w:rsidP="00B37B2C">
      <w:pPr>
        <w:pStyle w:val="Heading1"/>
      </w:pPr>
      <w:r>
        <w:t>Summary</w:t>
      </w:r>
    </w:p>
    <w:p w14:paraId="68408311" w14:textId="525217F6" w:rsidR="00B37B2C" w:rsidRDefault="00B37B2C" w:rsidP="00B37B2C">
      <w:r>
        <w:t xml:space="preserve">In this contribution, we have identified three different phases for setting up an IAB node and provided a high-level signalling flow for these phases. These phases should be further studied for each architecture/protocol options to be studied during this study item. The detailed signalling flow for all the three phases should be captured in TR 38.874. </w:t>
      </w:r>
    </w:p>
    <w:p w14:paraId="7E55D916" w14:textId="77777777" w:rsidR="00B37B2C" w:rsidRDefault="00B37B2C" w:rsidP="00B37B2C">
      <w:pPr>
        <w:pStyle w:val="TOC1"/>
        <w:spacing w:after="240"/>
        <w:jc w:val="both"/>
        <w:rPr>
          <w:noProof w:val="0"/>
          <w:lang w:val="en-GB"/>
        </w:rPr>
      </w:pPr>
    </w:p>
    <w:p w14:paraId="3E760CBD" w14:textId="343E5B02" w:rsidR="00B37B2C" w:rsidRPr="00A9131A" w:rsidRDefault="00B37B2C" w:rsidP="00B37B2C">
      <w:pPr>
        <w:pStyle w:val="Proposal"/>
        <w:jc w:val="left"/>
        <w:rPr>
          <w:sz w:val="16"/>
        </w:rPr>
      </w:pPr>
      <w:bookmarkStart w:id="65" w:name="_Toc506553381"/>
      <w:bookmarkStart w:id="66" w:name="_Toc506553485"/>
      <w:bookmarkStart w:id="67" w:name="_Toc506553640"/>
      <w:bookmarkStart w:id="68" w:name="_Toc506563514"/>
      <w:bookmarkStart w:id="69" w:name="_Toc513551627"/>
      <w:r>
        <w:rPr>
          <w:szCs w:val="24"/>
        </w:rPr>
        <w:t>For all the architecture/protocol options to be discussed in this study item, the details of the three phases of the IAB node setup should be captured in TR 38.874.</w:t>
      </w:r>
      <w:bookmarkEnd w:id="65"/>
      <w:bookmarkEnd w:id="66"/>
      <w:bookmarkEnd w:id="67"/>
      <w:bookmarkEnd w:id="68"/>
      <w:bookmarkEnd w:id="69"/>
    </w:p>
    <w:p w14:paraId="326E26E3" w14:textId="77777777" w:rsidR="00B37B2C" w:rsidRDefault="00B37B2C" w:rsidP="00B37B2C"/>
    <w:p w14:paraId="4628B618" w14:textId="77777777" w:rsidR="00B37B2C" w:rsidRPr="00B37B2C" w:rsidRDefault="00B37B2C" w:rsidP="003E36CC"/>
    <w:p w14:paraId="1F95ECB8" w14:textId="13494ED5" w:rsidR="0095503C" w:rsidRDefault="0095503C" w:rsidP="002724D9">
      <w:pPr>
        <w:pStyle w:val="TOC1"/>
        <w:spacing w:after="240"/>
        <w:ind w:left="0" w:firstLine="0"/>
        <w:jc w:val="both"/>
        <w:rPr>
          <w:noProof w:val="0"/>
          <w:lang w:val="en-GB"/>
        </w:rPr>
      </w:pPr>
    </w:p>
    <w:p w14:paraId="499BEF89" w14:textId="77777777" w:rsidR="00212D46" w:rsidRPr="00CE0424" w:rsidRDefault="00212D46" w:rsidP="003B2105">
      <w:pPr>
        <w:pStyle w:val="Heading1"/>
      </w:pPr>
      <w:r w:rsidRPr="00CE0424">
        <w:t>Conclusion</w:t>
      </w:r>
    </w:p>
    <w:p w14:paraId="2BF53C5E" w14:textId="15624521" w:rsidR="002A320B" w:rsidRDefault="00FA2AD3" w:rsidP="000B1A38">
      <w:bookmarkStart w:id="70" w:name="_In-sequence_SDU_delivery"/>
      <w:bookmarkEnd w:id="70"/>
      <w:r>
        <w:t>In this contribution</w:t>
      </w:r>
      <w:r w:rsidR="00FC0A5B">
        <w:t>,</w:t>
      </w:r>
      <w:r>
        <w:t xml:space="preserve"> we have</w:t>
      </w:r>
      <w:r w:rsidR="00B37B2C">
        <w:t xml:space="preserve"> discussed the different phases of the IAB setup procedure, and we propose: </w:t>
      </w:r>
    </w:p>
    <w:p w14:paraId="3DEA637E" w14:textId="17475030" w:rsidR="002B3C01" w:rsidRDefault="002B3C01" w:rsidP="000B1A38"/>
    <w:p w14:paraId="16772F5A" w14:textId="77777777" w:rsidR="004C3B48" w:rsidRPr="004C3B48" w:rsidRDefault="002B3C01">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4C3B48">
        <w:t>Proposal 1</w:t>
      </w:r>
      <w:r w:rsidR="004C3B48" w:rsidRPr="004C3B48">
        <w:rPr>
          <w:rFonts w:asciiTheme="minorHAnsi" w:eastAsiaTheme="minorEastAsia" w:hAnsiTheme="minorHAnsi" w:cstheme="minorBidi"/>
          <w:b w:val="0"/>
          <w:sz w:val="22"/>
          <w:lang w:eastAsia="sv-SE"/>
        </w:rPr>
        <w:tab/>
      </w:r>
      <w:r w:rsidR="004C3B48">
        <w:t>The IAB node setup should be split into three different phases, namely a) establishing connectivity, b) IAB node setup as a DU, and c) IAB node up and running. These three phases should be further analysed for the proposed architectures for the IAB node.</w:t>
      </w:r>
    </w:p>
    <w:p w14:paraId="75603CE0" w14:textId="77777777" w:rsidR="004C3B48" w:rsidRPr="004C3B48" w:rsidRDefault="004C3B48">
      <w:pPr>
        <w:pStyle w:val="TOC1"/>
        <w:rPr>
          <w:rFonts w:asciiTheme="minorHAnsi" w:eastAsiaTheme="minorEastAsia" w:hAnsiTheme="minorHAnsi" w:cstheme="minorBidi"/>
          <w:b w:val="0"/>
          <w:sz w:val="22"/>
          <w:lang w:eastAsia="sv-SE"/>
        </w:rPr>
      </w:pPr>
      <w:r>
        <w:t>Proposal 2</w:t>
      </w:r>
      <w:r w:rsidRPr="004C3B48">
        <w:rPr>
          <w:rFonts w:asciiTheme="minorHAnsi" w:eastAsiaTheme="minorEastAsia" w:hAnsiTheme="minorHAnsi" w:cstheme="minorBidi"/>
          <w:b w:val="0"/>
          <w:sz w:val="22"/>
          <w:lang w:eastAsia="sv-SE"/>
        </w:rPr>
        <w:tab/>
      </w:r>
      <w:r>
        <w:t>Further studies should be conducted to modify/optimize the existing UE attach procedure or propose a new setup procedure for IAB connectivity to operator internal network.</w:t>
      </w:r>
    </w:p>
    <w:p w14:paraId="080C4B86" w14:textId="77777777" w:rsidR="004C3B48" w:rsidRPr="004C3B48" w:rsidRDefault="004C3B48">
      <w:pPr>
        <w:pStyle w:val="TOC1"/>
        <w:rPr>
          <w:rFonts w:asciiTheme="minorHAnsi" w:eastAsiaTheme="minorEastAsia" w:hAnsiTheme="minorHAnsi" w:cstheme="minorBidi"/>
          <w:b w:val="0"/>
          <w:sz w:val="22"/>
          <w:lang w:eastAsia="sv-SE"/>
        </w:rPr>
      </w:pPr>
      <w:r>
        <w:t>Proposal 3</w:t>
      </w:r>
      <w:r w:rsidRPr="004C3B48">
        <w:rPr>
          <w:rFonts w:asciiTheme="minorHAnsi" w:eastAsiaTheme="minorEastAsia" w:hAnsiTheme="minorHAnsi" w:cstheme="minorBidi"/>
          <w:b w:val="0"/>
          <w:sz w:val="22"/>
          <w:lang w:eastAsia="sv-SE"/>
        </w:rPr>
        <w:tab/>
      </w:r>
      <w:r>
        <w:t>Assigning IAB nodes to a specific network slice could be beneficial to support specific 5GC instances/functionalities dedicated to serving the IAB nodes.</w:t>
      </w:r>
    </w:p>
    <w:p w14:paraId="5ABA07C1" w14:textId="77777777" w:rsidR="004C3B48" w:rsidRPr="004C3B48" w:rsidRDefault="004C3B48">
      <w:pPr>
        <w:pStyle w:val="TOC1"/>
        <w:rPr>
          <w:rFonts w:asciiTheme="minorHAnsi" w:eastAsiaTheme="minorEastAsia" w:hAnsiTheme="minorHAnsi" w:cstheme="minorBidi"/>
          <w:b w:val="0"/>
          <w:sz w:val="22"/>
          <w:lang w:eastAsia="sv-SE"/>
        </w:rPr>
      </w:pPr>
      <w:r>
        <w:t>Proposal 4</w:t>
      </w:r>
      <w:r w:rsidRPr="004C3B48">
        <w:rPr>
          <w:rFonts w:asciiTheme="minorHAnsi" w:eastAsiaTheme="minorEastAsia" w:hAnsiTheme="minorHAnsi" w:cstheme="minorBidi"/>
          <w:b w:val="0"/>
          <w:sz w:val="22"/>
          <w:lang w:eastAsia="sv-SE"/>
        </w:rPr>
        <w:tab/>
      </w:r>
      <w:r>
        <w:t>The F1 interface is used to setup the logical connection between the IAB node and its CU. The details of the transportation of the F1 UP/CP messages over the backhaul link (protocols, security aspects, etc) are FFS.</w:t>
      </w:r>
    </w:p>
    <w:p w14:paraId="2DC85A2B" w14:textId="77777777" w:rsidR="004C3B48" w:rsidRPr="004C3B48" w:rsidRDefault="004C3B48">
      <w:pPr>
        <w:pStyle w:val="TOC1"/>
        <w:rPr>
          <w:rFonts w:asciiTheme="minorHAnsi" w:eastAsiaTheme="minorEastAsia" w:hAnsiTheme="minorHAnsi" w:cstheme="minorBidi"/>
          <w:b w:val="0"/>
          <w:sz w:val="22"/>
          <w:lang w:eastAsia="sv-SE"/>
        </w:rPr>
      </w:pPr>
      <w:r>
        <w:t>Proposal 5</w:t>
      </w:r>
      <w:r w:rsidRPr="004C3B48">
        <w:rPr>
          <w:rFonts w:asciiTheme="minorHAnsi" w:eastAsiaTheme="minorEastAsia" w:hAnsiTheme="minorHAnsi" w:cstheme="minorBidi"/>
          <w:b w:val="0"/>
          <w:sz w:val="22"/>
          <w:lang w:eastAsia="sv-SE"/>
        </w:rPr>
        <w:tab/>
      </w:r>
      <w:r>
        <w:t>For all the architecture/protocol options to be discussed in this study item, the details of the three phases of the IAB node setup should be captured in TR 38.874.</w:t>
      </w:r>
    </w:p>
    <w:p w14:paraId="66D62E29" w14:textId="24EF96C1" w:rsidR="004E3357" w:rsidRPr="00E9417B" w:rsidRDefault="002B3C01" w:rsidP="00E9417B">
      <w:pPr>
        <w:rPr>
          <w:b/>
          <w:bCs/>
        </w:rPr>
      </w:pPr>
      <w:r>
        <w:rPr>
          <w:b/>
          <w:bCs/>
        </w:rPr>
        <w:fldChar w:fldCharType="end"/>
      </w:r>
    </w:p>
    <w:sectPr w:rsidR="004E3357" w:rsidRPr="00E9417B">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1389D" w14:textId="77777777" w:rsidR="00AA4D0D" w:rsidRDefault="00AA4D0D">
      <w:r>
        <w:separator/>
      </w:r>
    </w:p>
  </w:endnote>
  <w:endnote w:type="continuationSeparator" w:id="0">
    <w:p w14:paraId="46024133" w14:textId="77777777" w:rsidR="00AA4D0D" w:rsidRDefault="00AA4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12659914" w:rsidR="007A37FC" w:rsidRDefault="007A37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619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619A">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3F876" w14:textId="77777777" w:rsidR="00AA4D0D" w:rsidRDefault="00AA4D0D">
      <w:r>
        <w:separator/>
      </w:r>
    </w:p>
  </w:footnote>
  <w:footnote w:type="continuationSeparator" w:id="0">
    <w:p w14:paraId="6E661ABC" w14:textId="77777777" w:rsidR="00AA4D0D" w:rsidRDefault="00AA4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7A37FC" w:rsidRDefault="007A37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10"/>
  </w:num>
  <w:num w:numId="4">
    <w:abstractNumId w:val="11"/>
  </w:num>
  <w:num w:numId="5">
    <w:abstractNumId w:val="6"/>
  </w:num>
  <w:num w:numId="6">
    <w:abstractNumId w:val="13"/>
  </w:num>
  <w:num w:numId="7">
    <w:abstractNumId w:val="20"/>
  </w:num>
  <w:num w:numId="8">
    <w:abstractNumId w:val="7"/>
  </w:num>
  <w:num w:numId="9">
    <w:abstractNumId w:val="17"/>
  </w:num>
  <w:num w:numId="10">
    <w:abstractNumId w:val="22"/>
  </w:num>
  <w:num w:numId="11">
    <w:abstractNumId w:val="18"/>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1"/>
  </w:num>
  <w:num w:numId="17">
    <w:abstractNumId w:val="24"/>
  </w:num>
  <w:num w:numId="18">
    <w:abstractNumId w:val="15"/>
  </w:num>
  <w:num w:numId="19">
    <w:abstractNumId w:val="26"/>
  </w:num>
  <w:num w:numId="20">
    <w:abstractNumId w:val="12"/>
  </w:num>
  <w:num w:numId="21">
    <w:abstractNumId w:val="23"/>
  </w:num>
  <w:num w:numId="22">
    <w:abstractNumId w:val="25"/>
  </w:num>
  <w:num w:numId="23">
    <w:abstractNumId w:val="3"/>
  </w:num>
  <w:num w:numId="24">
    <w:abstractNumId w:val="4"/>
  </w:num>
  <w:num w:numId="25">
    <w:abstractNumId w:val="19"/>
  </w:num>
  <w:num w:numId="26">
    <w:abstractNumId w:val="5"/>
  </w:num>
  <w:num w:numId="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54DE"/>
    <w:rsid w:val="00006446"/>
    <w:rsid w:val="00006896"/>
    <w:rsid w:val="00006B58"/>
    <w:rsid w:val="00006EF6"/>
    <w:rsid w:val="00007CDC"/>
    <w:rsid w:val="00011507"/>
    <w:rsid w:val="00011B28"/>
    <w:rsid w:val="000135E0"/>
    <w:rsid w:val="0001446F"/>
    <w:rsid w:val="00015D15"/>
    <w:rsid w:val="0001686D"/>
    <w:rsid w:val="000179D1"/>
    <w:rsid w:val="000212A2"/>
    <w:rsid w:val="000219C7"/>
    <w:rsid w:val="00021FEB"/>
    <w:rsid w:val="000226EB"/>
    <w:rsid w:val="0002564D"/>
    <w:rsid w:val="00025ECA"/>
    <w:rsid w:val="00027939"/>
    <w:rsid w:val="000325B8"/>
    <w:rsid w:val="0003369F"/>
    <w:rsid w:val="00034C15"/>
    <w:rsid w:val="00035648"/>
    <w:rsid w:val="00036BA1"/>
    <w:rsid w:val="0003717F"/>
    <w:rsid w:val="00041145"/>
    <w:rsid w:val="000422E2"/>
    <w:rsid w:val="00042F22"/>
    <w:rsid w:val="00043003"/>
    <w:rsid w:val="0004367E"/>
    <w:rsid w:val="000442FD"/>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1DA5"/>
    <w:rsid w:val="000738B3"/>
    <w:rsid w:val="0007418B"/>
    <w:rsid w:val="0007519E"/>
    <w:rsid w:val="0007619A"/>
    <w:rsid w:val="00077E5F"/>
    <w:rsid w:val="0008036A"/>
    <w:rsid w:val="00081AE6"/>
    <w:rsid w:val="000855EB"/>
    <w:rsid w:val="00085B52"/>
    <w:rsid w:val="00085C30"/>
    <w:rsid w:val="000866F2"/>
    <w:rsid w:val="00086BB7"/>
    <w:rsid w:val="0009009F"/>
    <w:rsid w:val="00090621"/>
    <w:rsid w:val="00091557"/>
    <w:rsid w:val="000924C1"/>
    <w:rsid w:val="000924F0"/>
    <w:rsid w:val="0009305A"/>
    <w:rsid w:val="0009336D"/>
    <w:rsid w:val="00093474"/>
    <w:rsid w:val="00094EFA"/>
    <w:rsid w:val="0009510F"/>
    <w:rsid w:val="00097AAF"/>
    <w:rsid w:val="000A07F6"/>
    <w:rsid w:val="000A1B7B"/>
    <w:rsid w:val="000A1D36"/>
    <w:rsid w:val="000A301B"/>
    <w:rsid w:val="000A56F2"/>
    <w:rsid w:val="000B14B0"/>
    <w:rsid w:val="000B1A38"/>
    <w:rsid w:val="000B2719"/>
    <w:rsid w:val="000B28BF"/>
    <w:rsid w:val="000B3A8F"/>
    <w:rsid w:val="000B4AB9"/>
    <w:rsid w:val="000B58C3"/>
    <w:rsid w:val="000B61E9"/>
    <w:rsid w:val="000B6CF7"/>
    <w:rsid w:val="000C0137"/>
    <w:rsid w:val="000C07D6"/>
    <w:rsid w:val="000C165A"/>
    <w:rsid w:val="000C2E19"/>
    <w:rsid w:val="000C2ED8"/>
    <w:rsid w:val="000C483D"/>
    <w:rsid w:val="000C6F5F"/>
    <w:rsid w:val="000D019C"/>
    <w:rsid w:val="000D0488"/>
    <w:rsid w:val="000D0D07"/>
    <w:rsid w:val="000D1D26"/>
    <w:rsid w:val="000D40F8"/>
    <w:rsid w:val="000D4312"/>
    <w:rsid w:val="000D4797"/>
    <w:rsid w:val="000D4C42"/>
    <w:rsid w:val="000D51FB"/>
    <w:rsid w:val="000E0527"/>
    <w:rsid w:val="000E1E92"/>
    <w:rsid w:val="000E291B"/>
    <w:rsid w:val="000E34ED"/>
    <w:rsid w:val="000F06D6"/>
    <w:rsid w:val="000F0EB1"/>
    <w:rsid w:val="000F1106"/>
    <w:rsid w:val="000F143D"/>
    <w:rsid w:val="000F184D"/>
    <w:rsid w:val="000F1873"/>
    <w:rsid w:val="000F3BE9"/>
    <w:rsid w:val="000F3F6C"/>
    <w:rsid w:val="000F42EB"/>
    <w:rsid w:val="000F6743"/>
    <w:rsid w:val="000F6DF3"/>
    <w:rsid w:val="000F700C"/>
    <w:rsid w:val="000F7B77"/>
    <w:rsid w:val="001005FF"/>
    <w:rsid w:val="001007F2"/>
    <w:rsid w:val="00102D88"/>
    <w:rsid w:val="00104D2C"/>
    <w:rsid w:val="001051DE"/>
    <w:rsid w:val="00105AC3"/>
    <w:rsid w:val="001062FB"/>
    <w:rsid w:val="001063E6"/>
    <w:rsid w:val="00106B30"/>
    <w:rsid w:val="00112266"/>
    <w:rsid w:val="00113CF4"/>
    <w:rsid w:val="001153EA"/>
    <w:rsid w:val="00115643"/>
    <w:rsid w:val="00115E9E"/>
    <w:rsid w:val="00115FDF"/>
    <w:rsid w:val="00116765"/>
    <w:rsid w:val="001174BA"/>
    <w:rsid w:val="0012095D"/>
    <w:rsid w:val="001219F5"/>
    <w:rsid w:val="00121A20"/>
    <w:rsid w:val="00121B0B"/>
    <w:rsid w:val="00122F2E"/>
    <w:rsid w:val="00123033"/>
    <w:rsid w:val="0012377F"/>
    <w:rsid w:val="00124314"/>
    <w:rsid w:val="00125079"/>
    <w:rsid w:val="001250F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47BDB"/>
    <w:rsid w:val="00151E23"/>
    <w:rsid w:val="001526E0"/>
    <w:rsid w:val="001541A3"/>
    <w:rsid w:val="00154AF1"/>
    <w:rsid w:val="001551B5"/>
    <w:rsid w:val="00155C2B"/>
    <w:rsid w:val="00156808"/>
    <w:rsid w:val="00157C31"/>
    <w:rsid w:val="00160BC1"/>
    <w:rsid w:val="00160E23"/>
    <w:rsid w:val="001622BB"/>
    <w:rsid w:val="00163479"/>
    <w:rsid w:val="001643A8"/>
    <w:rsid w:val="0016555B"/>
    <w:rsid w:val="001659C1"/>
    <w:rsid w:val="00167222"/>
    <w:rsid w:val="00170067"/>
    <w:rsid w:val="0017045C"/>
    <w:rsid w:val="001718EC"/>
    <w:rsid w:val="001732EB"/>
    <w:rsid w:val="00173A8E"/>
    <w:rsid w:val="001741AA"/>
    <w:rsid w:val="00175BC7"/>
    <w:rsid w:val="00177795"/>
    <w:rsid w:val="00181212"/>
    <w:rsid w:val="0018143F"/>
    <w:rsid w:val="0018215E"/>
    <w:rsid w:val="00182FC8"/>
    <w:rsid w:val="00185797"/>
    <w:rsid w:val="00187EE4"/>
    <w:rsid w:val="00190AC1"/>
    <w:rsid w:val="00192200"/>
    <w:rsid w:val="00192750"/>
    <w:rsid w:val="0019341A"/>
    <w:rsid w:val="00196ADF"/>
    <w:rsid w:val="00196C43"/>
    <w:rsid w:val="00197596"/>
    <w:rsid w:val="00197D7A"/>
    <w:rsid w:val="00197DF9"/>
    <w:rsid w:val="00197F2C"/>
    <w:rsid w:val="001A1475"/>
    <w:rsid w:val="001A1987"/>
    <w:rsid w:val="001A2564"/>
    <w:rsid w:val="001A2FF9"/>
    <w:rsid w:val="001A335C"/>
    <w:rsid w:val="001A36CC"/>
    <w:rsid w:val="001A42F7"/>
    <w:rsid w:val="001A6173"/>
    <w:rsid w:val="001A6CBA"/>
    <w:rsid w:val="001A7BFD"/>
    <w:rsid w:val="001B0B5F"/>
    <w:rsid w:val="001B0D97"/>
    <w:rsid w:val="001B20C7"/>
    <w:rsid w:val="001B440C"/>
    <w:rsid w:val="001B556C"/>
    <w:rsid w:val="001B5A5D"/>
    <w:rsid w:val="001B5DAD"/>
    <w:rsid w:val="001B6FB2"/>
    <w:rsid w:val="001B77D0"/>
    <w:rsid w:val="001C1CE5"/>
    <w:rsid w:val="001C2556"/>
    <w:rsid w:val="001C3D2A"/>
    <w:rsid w:val="001C5429"/>
    <w:rsid w:val="001C6495"/>
    <w:rsid w:val="001C793C"/>
    <w:rsid w:val="001C7F15"/>
    <w:rsid w:val="001D3F23"/>
    <w:rsid w:val="001D51BA"/>
    <w:rsid w:val="001D58B3"/>
    <w:rsid w:val="001D6342"/>
    <w:rsid w:val="001D6BDB"/>
    <w:rsid w:val="001D6D53"/>
    <w:rsid w:val="001D7361"/>
    <w:rsid w:val="001E1D1B"/>
    <w:rsid w:val="001E58E2"/>
    <w:rsid w:val="001E59DA"/>
    <w:rsid w:val="001E647F"/>
    <w:rsid w:val="001E6F78"/>
    <w:rsid w:val="001E7AED"/>
    <w:rsid w:val="001F08A2"/>
    <w:rsid w:val="001F16F8"/>
    <w:rsid w:val="001F2565"/>
    <w:rsid w:val="001F2F6C"/>
    <w:rsid w:val="001F3912"/>
    <w:rsid w:val="001F3916"/>
    <w:rsid w:val="001F3E5B"/>
    <w:rsid w:val="001F54C5"/>
    <w:rsid w:val="001F5947"/>
    <w:rsid w:val="001F662C"/>
    <w:rsid w:val="001F7074"/>
    <w:rsid w:val="00200490"/>
    <w:rsid w:val="00200F06"/>
    <w:rsid w:val="00201F3A"/>
    <w:rsid w:val="00203F96"/>
    <w:rsid w:val="00205F78"/>
    <w:rsid w:val="0020640B"/>
    <w:rsid w:val="002069B2"/>
    <w:rsid w:val="00206A93"/>
    <w:rsid w:val="00207FA3"/>
    <w:rsid w:val="00210A82"/>
    <w:rsid w:val="00212865"/>
    <w:rsid w:val="00212D46"/>
    <w:rsid w:val="00212E3C"/>
    <w:rsid w:val="00213C50"/>
    <w:rsid w:val="00214344"/>
    <w:rsid w:val="00214DA8"/>
    <w:rsid w:val="00215423"/>
    <w:rsid w:val="002158FA"/>
    <w:rsid w:val="00217F12"/>
    <w:rsid w:val="00220600"/>
    <w:rsid w:val="0022083B"/>
    <w:rsid w:val="002211F2"/>
    <w:rsid w:val="002224DB"/>
    <w:rsid w:val="002236F0"/>
    <w:rsid w:val="00223FCB"/>
    <w:rsid w:val="00224B79"/>
    <w:rsid w:val="002252C3"/>
    <w:rsid w:val="00225B4C"/>
    <w:rsid w:val="00225C54"/>
    <w:rsid w:val="00230765"/>
    <w:rsid w:val="002319E4"/>
    <w:rsid w:val="00233636"/>
    <w:rsid w:val="00233CFA"/>
    <w:rsid w:val="00235632"/>
    <w:rsid w:val="00235872"/>
    <w:rsid w:val="00235FA8"/>
    <w:rsid w:val="00236AB7"/>
    <w:rsid w:val="00241559"/>
    <w:rsid w:val="00241CA5"/>
    <w:rsid w:val="00241D56"/>
    <w:rsid w:val="00241EC9"/>
    <w:rsid w:val="0024342E"/>
    <w:rsid w:val="002435B3"/>
    <w:rsid w:val="00243BCE"/>
    <w:rsid w:val="0024525C"/>
    <w:rsid w:val="002458EB"/>
    <w:rsid w:val="002500C8"/>
    <w:rsid w:val="00250CB0"/>
    <w:rsid w:val="002518E4"/>
    <w:rsid w:val="00251EA0"/>
    <w:rsid w:val="00253F49"/>
    <w:rsid w:val="002557A2"/>
    <w:rsid w:val="00257321"/>
    <w:rsid w:val="00257543"/>
    <w:rsid w:val="002617E7"/>
    <w:rsid w:val="00261FC8"/>
    <w:rsid w:val="00263069"/>
    <w:rsid w:val="00264228"/>
    <w:rsid w:val="00264334"/>
    <w:rsid w:val="0026473E"/>
    <w:rsid w:val="002648F7"/>
    <w:rsid w:val="00266214"/>
    <w:rsid w:val="00267C83"/>
    <w:rsid w:val="00267DFD"/>
    <w:rsid w:val="00270879"/>
    <w:rsid w:val="00270AE3"/>
    <w:rsid w:val="00270DA2"/>
    <w:rsid w:val="0027144F"/>
    <w:rsid w:val="00271523"/>
    <w:rsid w:val="00271F3A"/>
    <w:rsid w:val="002724D9"/>
    <w:rsid w:val="00272FE9"/>
    <w:rsid w:val="00273020"/>
    <w:rsid w:val="00273278"/>
    <w:rsid w:val="002737F4"/>
    <w:rsid w:val="002738A1"/>
    <w:rsid w:val="00274E1D"/>
    <w:rsid w:val="00276B69"/>
    <w:rsid w:val="00276C20"/>
    <w:rsid w:val="0027787B"/>
    <w:rsid w:val="002805F5"/>
    <w:rsid w:val="00280751"/>
    <w:rsid w:val="00280E2B"/>
    <w:rsid w:val="0028176B"/>
    <w:rsid w:val="0028280A"/>
    <w:rsid w:val="00283E1D"/>
    <w:rsid w:val="00284F31"/>
    <w:rsid w:val="0028561E"/>
    <w:rsid w:val="002863A8"/>
    <w:rsid w:val="00286ACD"/>
    <w:rsid w:val="00287838"/>
    <w:rsid w:val="00287C16"/>
    <w:rsid w:val="00287FC8"/>
    <w:rsid w:val="002907B5"/>
    <w:rsid w:val="002921E6"/>
    <w:rsid w:val="00292EB7"/>
    <w:rsid w:val="00293328"/>
    <w:rsid w:val="002961C1"/>
    <w:rsid w:val="00296227"/>
    <w:rsid w:val="00296F44"/>
    <w:rsid w:val="0029739C"/>
    <w:rsid w:val="0029777D"/>
    <w:rsid w:val="002A02FD"/>
    <w:rsid w:val="002A055E"/>
    <w:rsid w:val="002A0A9D"/>
    <w:rsid w:val="002A0ED4"/>
    <w:rsid w:val="002A1D4E"/>
    <w:rsid w:val="002A26FA"/>
    <w:rsid w:val="002A2869"/>
    <w:rsid w:val="002A320B"/>
    <w:rsid w:val="002A4D74"/>
    <w:rsid w:val="002A633C"/>
    <w:rsid w:val="002A6A54"/>
    <w:rsid w:val="002B24D6"/>
    <w:rsid w:val="002B361C"/>
    <w:rsid w:val="002B3933"/>
    <w:rsid w:val="002B3C01"/>
    <w:rsid w:val="002B430A"/>
    <w:rsid w:val="002B5254"/>
    <w:rsid w:val="002B656F"/>
    <w:rsid w:val="002B6C8C"/>
    <w:rsid w:val="002C01DE"/>
    <w:rsid w:val="002C1550"/>
    <w:rsid w:val="002C29B6"/>
    <w:rsid w:val="002C3FF6"/>
    <w:rsid w:val="002C41E6"/>
    <w:rsid w:val="002C467C"/>
    <w:rsid w:val="002C539A"/>
    <w:rsid w:val="002C588D"/>
    <w:rsid w:val="002C6926"/>
    <w:rsid w:val="002C7C65"/>
    <w:rsid w:val="002D054A"/>
    <w:rsid w:val="002D071A"/>
    <w:rsid w:val="002D1FA1"/>
    <w:rsid w:val="002D34B2"/>
    <w:rsid w:val="002D6C8C"/>
    <w:rsid w:val="002D7637"/>
    <w:rsid w:val="002E0031"/>
    <w:rsid w:val="002E01F5"/>
    <w:rsid w:val="002E17F2"/>
    <w:rsid w:val="002E44AD"/>
    <w:rsid w:val="002E63DF"/>
    <w:rsid w:val="002E7CAE"/>
    <w:rsid w:val="002F0EB2"/>
    <w:rsid w:val="002F0FAE"/>
    <w:rsid w:val="002F13B1"/>
    <w:rsid w:val="002F1F36"/>
    <w:rsid w:val="002F1F4E"/>
    <w:rsid w:val="002F2771"/>
    <w:rsid w:val="002F37A9"/>
    <w:rsid w:val="002F3EB5"/>
    <w:rsid w:val="002F417B"/>
    <w:rsid w:val="002F44ED"/>
    <w:rsid w:val="002F5561"/>
    <w:rsid w:val="002F6626"/>
    <w:rsid w:val="00301CE6"/>
    <w:rsid w:val="00301D3C"/>
    <w:rsid w:val="0030256B"/>
    <w:rsid w:val="0030314F"/>
    <w:rsid w:val="00304338"/>
    <w:rsid w:val="0030501F"/>
    <w:rsid w:val="0030578C"/>
    <w:rsid w:val="003078EF"/>
    <w:rsid w:val="00307BA1"/>
    <w:rsid w:val="00310C25"/>
    <w:rsid w:val="00311702"/>
    <w:rsid w:val="00311B31"/>
    <w:rsid w:val="00311E82"/>
    <w:rsid w:val="00312493"/>
    <w:rsid w:val="0031309F"/>
    <w:rsid w:val="00313FD6"/>
    <w:rsid w:val="003143BD"/>
    <w:rsid w:val="003150A6"/>
    <w:rsid w:val="00317B01"/>
    <w:rsid w:val="00317F23"/>
    <w:rsid w:val="003203ED"/>
    <w:rsid w:val="00322C9F"/>
    <w:rsid w:val="003238C0"/>
    <w:rsid w:val="00323F80"/>
    <w:rsid w:val="00324456"/>
    <w:rsid w:val="00324D23"/>
    <w:rsid w:val="003250A8"/>
    <w:rsid w:val="003271EA"/>
    <w:rsid w:val="00330D48"/>
    <w:rsid w:val="00331751"/>
    <w:rsid w:val="00331D5D"/>
    <w:rsid w:val="0033324A"/>
    <w:rsid w:val="00333A10"/>
    <w:rsid w:val="00334579"/>
    <w:rsid w:val="00335858"/>
    <w:rsid w:val="00336BDA"/>
    <w:rsid w:val="003409B2"/>
    <w:rsid w:val="00342BD7"/>
    <w:rsid w:val="00343A07"/>
    <w:rsid w:val="0034529A"/>
    <w:rsid w:val="00345333"/>
    <w:rsid w:val="00346DB5"/>
    <w:rsid w:val="003476F9"/>
    <w:rsid w:val="003477B1"/>
    <w:rsid w:val="00347D1C"/>
    <w:rsid w:val="003520E2"/>
    <w:rsid w:val="003521FD"/>
    <w:rsid w:val="0035473E"/>
    <w:rsid w:val="0035482C"/>
    <w:rsid w:val="00354CAA"/>
    <w:rsid w:val="00355EA2"/>
    <w:rsid w:val="0035656F"/>
    <w:rsid w:val="00357380"/>
    <w:rsid w:val="00357ADB"/>
    <w:rsid w:val="003602D9"/>
    <w:rsid w:val="003604CE"/>
    <w:rsid w:val="00362AD9"/>
    <w:rsid w:val="00364BC3"/>
    <w:rsid w:val="003675AE"/>
    <w:rsid w:val="00367C7A"/>
    <w:rsid w:val="00370300"/>
    <w:rsid w:val="00370319"/>
    <w:rsid w:val="00370865"/>
    <w:rsid w:val="00370E47"/>
    <w:rsid w:val="00371CE1"/>
    <w:rsid w:val="0037381B"/>
    <w:rsid w:val="003739D8"/>
    <w:rsid w:val="003742AC"/>
    <w:rsid w:val="00375474"/>
    <w:rsid w:val="00377CE1"/>
    <w:rsid w:val="00380032"/>
    <w:rsid w:val="00380B82"/>
    <w:rsid w:val="00385BF0"/>
    <w:rsid w:val="00386960"/>
    <w:rsid w:val="00386A9D"/>
    <w:rsid w:val="00390E39"/>
    <w:rsid w:val="003939FF"/>
    <w:rsid w:val="00393D55"/>
    <w:rsid w:val="003958F1"/>
    <w:rsid w:val="00395AF3"/>
    <w:rsid w:val="003966CF"/>
    <w:rsid w:val="003969B8"/>
    <w:rsid w:val="00396B88"/>
    <w:rsid w:val="003A1400"/>
    <w:rsid w:val="003A2223"/>
    <w:rsid w:val="003A2A0F"/>
    <w:rsid w:val="003A41E6"/>
    <w:rsid w:val="003A45A1"/>
    <w:rsid w:val="003A53A4"/>
    <w:rsid w:val="003A5B0A"/>
    <w:rsid w:val="003A6BAC"/>
    <w:rsid w:val="003A7EF3"/>
    <w:rsid w:val="003B0545"/>
    <w:rsid w:val="003B1033"/>
    <w:rsid w:val="003B159C"/>
    <w:rsid w:val="003B2105"/>
    <w:rsid w:val="003B26DF"/>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D0761"/>
    <w:rsid w:val="003D109F"/>
    <w:rsid w:val="003D10AD"/>
    <w:rsid w:val="003D12BB"/>
    <w:rsid w:val="003D1CA1"/>
    <w:rsid w:val="003D2038"/>
    <w:rsid w:val="003D2092"/>
    <w:rsid w:val="003D2478"/>
    <w:rsid w:val="003D2FC4"/>
    <w:rsid w:val="003D3C45"/>
    <w:rsid w:val="003D42CC"/>
    <w:rsid w:val="003D45FC"/>
    <w:rsid w:val="003D5B1F"/>
    <w:rsid w:val="003D646D"/>
    <w:rsid w:val="003D798E"/>
    <w:rsid w:val="003E0674"/>
    <w:rsid w:val="003E15FA"/>
    <w:rsid w:val="003E2FC3"/>
    <w:rsid w:val="003E3462"/>
    <w:rsid w:val="003E36CC"/>
    <w:rsid w:val="003E4C1F"/>
    <w:rsid w:val="003E54FC"/>
    <w:rsid w:val="003E55E4"/>
    <w:rsid w:val="003E6F4F"/>
    <w:rsid w:val="003E74E3"/>
    <w:rsid w:val="003E75BA"/>
    <w:rsid w:val="003F05C7"/>
    <w:rsid w:val="003F0F06"/>
    <w:rsid w:val="003F1144"/>
    <w:rsid w:val="003F128C"/>
    <w:rsid w:val="003F2CD4"/>
    <w:rsid w:val="003F2F9C"/>
    <w:rsid w:val="003F3B63"/>
    <w:rsid w:val="003F4D56"/>
    <w:rsid w:val="003F6BBE"/>
    <w:rsid w:val="003F723F"/>
    <w:rsid w:val="004000E8"/>
    <w:rsid w:val="00400A70"/>
    <w:rsid w:val="00402CDD"/>
    <w:rsid w:val="00402E2B"/>
    <w:rsid w:val="004031DE"/>
    <w:rsid w:val="004038C2"/>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A92"/>
    <w:rsid w:val="00425BC6"/>
    <w:rsid w:val="00425E68"/>
    <w:rsid w:val="00427241"/>
    <w:rsid w:val="00427248"/>
    <w:rsid w:val="004319E2"/>
    <w:rsid w:val="00431B9A"/>
    <w:rsid w:val="00432C84"/>
    <w:rsid w:val="004337E0"/>
    <w:rsid w:val="00433868"/>
    <w:rsid w:val="00436268"/>
    <w:rsid w:val="00436AA1"/>
    <w:rsid w:val="00437447"/>
    <w:rsid w:val="004374E6"/>
    <w:rsid w:val="00437610"/>
    <w:rsid w:val="00437F19"/>
    <w:rsid w:val="004412F8"/>
    <w:rsid w:val="00441A92"/>
    <w:rsid w:val="004426DE"/>
    <w:rsid w:val="00444F56"/>
    <w:rsid w:val="00446488"/>
    <w:rsid w:val="00450EEA"/>
    <w:rsid w:val="00451529"/>
    <w:rsid w:val="004517AA"/>
    <w:rsid w:val="00452CAC"/>
    <w:rsid w:val="00453003"/>
    <w:rsid w:val="00453849"/>
    <w:rsid w:val="00457565"/>
    <w:rsid w:val="00457B71"/>
    <w:rsid w:val="0046301D"/>
    <w:rsid w:val="00463CA6"/>
    <w:rsid w:val="004644EB"/>
    <w:rsid w:val="004649C8"/>
    <w:rsid w:val="00465F3A"/>
    <w:rsid w:val="004669E2"/>
    <w:rsid w:val="004679DC"/>
    <w:rsid w:val="00467E2F"/>
    <w:rsid w:val="00470039"/>
    <w:rsid w:val="004704DF"/>
    <w:rsid w:val="00470C31"/>
    <w:rsid w:val="00470DED"/>
    <w:rsid w:val="00472C22"/>
    <w:rsid w:val="004734D0"/>
    <w:rsid w:val="0047556B"/>
    <w:rsid w:val="004758BD"/>
    <w:rsid w:val="00476B57"/>
    <w:rsid w:val="00477768"/>
    <w:rsid w:val="004806E3"/>
    <w:rsid w:val="0048407E"/>
    <w:rsid w:val="0048568A"/>
    <w:rsid w:val="00485C41"/>
    <w:rsid w:val="00485DBF"/>
    <w:rsid w:val="004860E6"/>
    <w:rsid w:val="00486318"/>
    <w:rsid w:val="0049026C"/>
    <w:rsid w:val="00492025"/>
    <w:rsid w:val="00492555"/>
    <w:rsid w:val="00492BC5"/>
    <w:rsid w:val="00492D58"/>
    <w:rsid w:val="004959B3"/>
    <w:rsid w:val="004964F1"/>
    <w:rsid w:val="004A0A6D"/>
    <w:rsid w:val="004A16BC"/>
    <w:rsid w:val="004A1C96"/>
    <w:rsid w:val="004A2A89"/>
    <w:rsid w:val="004A2B94"/>
    <w:rsid w:val="004B1EB4"/>
    <w:rsid w:val="004B29D1"/>
    <w:rsid w:val="004B556D"/>
    <w:rsid w:val="004B7C0C"/>
    <w:rsid w:val="004C3898"/>
    <w:rsid w:val="004C3B48"/>
    <w:rsid w:val="004C6DFE"/>
    <w:rsid w:val="004D36B1"/>
    <w:rsid w:val="004D4B49"/>
    <w:rsid w:val="004D5745"/>
    <w:rsid w:val="004D5811"/>
    <w:rsid w:val="004D742C"/>
    <w:rsid w:val="004D796E"/>
    <w:rsid w:val="004D7EBD"/>
    <w:rsid w:val="004E10AB"/>
    <w:rsid w:val="004E2680"/>
    <w:rsid w:val="004E28F9"/>
    <w:rsid w:val="004E2DDD"/>
    <w:rsid w:val="004E3357"/>
    <w:rsid w:val="004E462E"/>
    <w:rsid w:val="004E56DC"/>
    <w:rsid w:val="004E5E1F"/>
    <w:rsid w:val="004E76F4"/>
    <w:rsid w:val="004F0132"/>
    <w:rsid w:val="004F0B4E"/>
    <w:rsid w:val="004F0B6C"/>
    <w:rsid w:val="004F2078"/>
    <w:rsid w:val="004F3E54"/>
    <w:rsid w:val="004F44BE"/>
    <w:rsid w:val="004F491F"/>
    <w:rsid w:val="004F4DA3"/>
    <w:rsid w:val="004F5A37"/>
    <w:rsid w:val="004F66A4"/>
    <w:rsid w:val="004F6C6C"/>
    <w:rsid w:val="004F729D"/>
    <w:rsid w:val="005000AF"/>
    <w:rsid w:val="00501540"/>
    <w:rsid w:val="00502025"/>
    <w:rsid w:val="00502D73"/>
    <w:rsid w:val="00505C27"/>
    <w:rsid w:val="00506557"/>
    <w:rsid w:val="0050677A"/>
    <w:rsid w:val="00506989"/>
    <w:rsid w:val="005072CE"/>
    <w:rsid w:val="0050770A"/>
    <w:rsid w:val="005108D8"/>
    <w:rsid w:val="005116F9"/>
    <w:rsid w:val="00513FCF"/>
    <w:rsid w:val="005153A7"/>
    <w:rsid w:val="005155EB"/>
    <w:rsid w:val="00516D60"/>
    <w:rsid w:val="00516FAD"/>
    <w:rsid w:val="00517442"/>
    <w:rsid w:val="005219CF"/>
    <w:rsid w:val="00522176"/>
    <w:rsid w:val="005224F3"/>
    <w:rsid w:val="005243DB"/>
    <w:rsid w:val="00526E90"/>
    <w:rsid w:val="0052771A"/>
    <w:rsid w:val="00531534"/>
    <w:rsid w:val="0053355F"/>
    <w:rsid w:val="005338D0"/>
    <w:rsid w:val="00534B59"/>
    <w:rsid w:val="00534F50"/>
    <w:rsid w:val="00535A9D"/>
    <w:rsid w:val="005361EB"/>
    <w:rsid w:val="00536759"/>
    <w:rsid w:val="005367C3"/>
    <w:rsid w:val="00536D88"/>
    <w:rsid w:val="00537C62"/>
    <w:rsid w:val="00542DFC"/>
    <w:rsid w:val="00543234"/>
    <w:rsid w:val="0054392E"/>
    <w:rsid w:val="00543984"/>
    <w:rsid w:val="0054462F"/>
    <w:rsid w:val="00544BAC"/>
    <w:rsid w:val="00545844"/>
    <w:rsid w:val="00546139"/>
    <w:rsid w:val="00546970"/>
    <w:rsid w:val="00554E19"/>
    <w:rsid w:val="005557DF"/>
    <w:rsid w:val="00555E3A"/>
    <w:rsid w:val="005565C7"/>
    <w:rsid w:val="0056121F"/>
    <w:rsid w:val="0056138C"/>
    <w:rsid w:val="005613C4"/>
    <w:rsid w:val="0056193B"/>
    <w:rsid w:val="00563C8D"/>
    <w:rsid w:val="00565D18"/>
    <w:rsid w:val="005702FB"/>
    <w:rsid w:val="00571171"/>
    <w:rsid w:val="005711B9"/>
    <w:rsid w:val="00571BFF"/>
    <w:rsid w:val="00572505"/>
    <w:rsid w:val="005730C2"/>
    <w:rsid w:val="00574D55"/>
    <w:rsid w:val="00580202"/>
    <w:rsid w:val="00582809"/>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5693"/>
    <w:rsid w:val="005A662D"/>
    <w:rsid w:val="005A6C45"/>
    <w:rsid w:val="005A78CA"/>
    <w:rsid w:val="005B045C"/>
    <w:rsid w:val="005B28BD"/>
    <w:rsid w:val="005B32B9"/>
    <w:rsid w:val="005B35D7"/>
    <w:rsid w:val="005B392A"/>
    <w:rsid w:val="005B3AA3"/>
    <w:rsid w:val="005B4A44"/>
    <w:rsid w:val="005B6F83"/>
    <w:rsid w:val="005B6FF2"/>
    <w:rsid w:val="005B7549"/>
    <w:rsid w:val="005C3119"/>
    <w:rsid w:val="005C5143"/>
    <w:rsid w:val="005C5A4F"/>
    <w:rsid w:val="005C6BCE"/>
    <w:rsid w:val="005C74FB"/>
    <w:rsid w:val="005C7752"/>
    <w:rsid w:val="005C7905"/>
    <w:rsid w:val="005C7F26"/>
    <w:rsid w:val="005D1602"/>
    <w:rsid w:val="005D1F90"/>
    <w:rsid w:val="005D259C"/>
    <w:rsid w:val="005D4FEE"/>
    <w:rsid w:val="005D7306"/>
    <w:rsid w:val="005E13F0"/>
    <w:rsid w:val="005E385F"/>
    <w:rsid w:val="005E5137"/>
    <w:rsid w:val="005E5A65"/>
    <w:rsid w:val="005E5B81"/>
    <w:rsid w:val="005E5C3C"/>
    <w:rsid w:val="005E6561"/>
    <w:rsid w:val="005E74BE"/>
    <w:rsid w:val="005E79D7"/>
    <w:rsid w:val="005F0DBA"/>
    <w:rsid w:val="005F1B20"/>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16EDF"/>
    <w:rsid w:val="00620A71"/>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4244"/>
    <w:rsid w:val="006345DA"/>
    <w:rsid w:val="006349E1"/>
    <w:rsid w:val="00636398"/>
    <w:rsid w:val="006368D3"/>
    <w:rsid w:val="00636937"/>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364D"/>
    <w:rsid w:val="006539D9"/>
    <w:rsid w:val="00655258"/>
    <w:rsid w:val="00655733"/>
    <w:rsid w:val="00655ACD"/>
    <w:rsid w:val="00656520"/>
    <w:rsid w:val="00656A92"/>
    <w:rsid w:val="00656C47"/>
    <w:rsid w:val="00656D85"/>
    <w:rsid w:val="00656DDE"/>
    <w:rsid w:val="0066011D"/>
    <w:rsid w:val="006602F0"/>
    <w:rsid w:val="006607C0"/>
    <w:rsid w:val="0066089E"/>
    <w:rsid w:val="00660F82"/>
    <w:rsid w:val="006613A6"/>
    <w:rsid w:val="006627A2"/>
    <w:rsid w:val="00662C02"/>
    <w:rsid w:val="006634E6"/>
    <w:rsid w:val="0066413F"/>
    <w:rsid w:val="006655EE"/>
    <w:rsid w:val="00665DAE"/>
    <w:rsid w:val="00665F6A"/>
    <w:rsid w:val="00665F6E"/>
    <w:rsid w:val="00667134"/>
    <w:rsid w:val="00667EE7"/>
    <w:rsid w:val="0067081F"/>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7E1"/>
    <w:rsid w:val="00683ECE"/>
    <w:rsid w:val="006848CD"/>
    <w:rsid w:val="006849AC"/>
    <w:rsid w:val="006858A0"/>
    <w:rsid w:val="00686808"/>
    <w:rsid w:val="00686D9A"/>
    <w:rsid w:val="00690BC7"/>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4C"/>
    <w:rsid w:val="006C03B8"/>
    <w:rsid w:val="006C14C0"/>
    <w:rsid w:val="006C5EC9"/>
    <w:rsid w:val="006C6059"/>
    <w:rsid w:val="006C6927"/>
    <w:rsid w:val="006C7522"/>
    <w:rsid w:val="006D0D96"/>
    <w:rsid w:val="006D1F71"/>
    <w:rsid w:val="006D2DD0"/>
    <w:rsid w:val="006D6F08"/>
    <w:rsid w:val="006E062C"/>
    <w:rsid w:val="006E0CC5"/>
    <w:rsid w:val="006E2461"/>
    <w:rsid w:val="006E28B7"/>
    <w:rsid w:val="006E3310"/>
    <w:rsid w:val="006E4E39"/>
    <w:rsid w:val="006E551D"/>
    <w:rsid w:val="006E565E"/>
    <w:rsid w:val="006E5BC1"/>
    <w:rsid w:val="006E673D"/>
    <w:rsid w:val="006E7D3B"/>
    <w:rsid w:val="006F0CCB"/>
    <w:rsid w:val="006F1567"/>
    <w:rsid w:val="006F1B70"/>
    <w:rsid w:val="006F341D"/>
    <w:rsid w:val="006F3A6E"/>
    <w:rsid w:val="006F3CDE"/>
    <w:rsid w:val="006F58D4"/>
    <w:rsid w:val="006F65F6"/>
    <w:rsid w:val="006F7109"/>
    <w:rsid w:val="00701983"/>
    <w:rsid w:val="0070346E"/>
    <w:rsid w:val="007036E6"/>
    <w:rsid w:val="00704EDB"/>
    <w:rsid w:val="0070537F"/>
    <w:rsid w:val="00706101"/>
    <w:rsid w:val="0070635C"/>
    <w:rsid w:val="00707072"/>
    <w:rsid w:val="00707D61"/>
    <w:rsid w:val="00710CBF"/>
    <w:rsid w:val="00712287"/>
    <w:rsid w:val="0071242E"/>
    <w:rsid w:val="00712772"/>
    <w:rsid w:val="00713419"/>
    <w:rsid w:val="00713960"/>
    <w:rsid w:val="00713A89"/>
    <w:rsid w:val="007148D3"/>
    <w:rsid w:val="00715B9A"/>
    <w:rsid w:val="00715BF1"/>
    <w:rsid w:val="00717606"/>
    <w:rsid w:val="00717EE1"/>
    <w:rsid w:val="00721593"/>
    <w:rsid w:val="00721626"/>
    <w:rsid w:val="00722660"/>
    <w:rsid w:val="00722CDD"/>
    <w:rsid w:val="00724136"/>
    <w:rsid w:val="00724463"/>
    <w:rsid w:val="00726B42"/>
    <w:rsid w:val="00726EA6"/>
    <w:rsid w:val="00727208"/>
    <w:rsid w:val="00727680"/>
    <w:rsid w:val="00727F23"/>
    <w:rsid w:val="007332C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3F9"/>
    <w:rsid w:val="007506AF"/>
    <w:rsid w:val="00751228"/>
    <w:rsid w:val="0075193B"/>
    <w:rsid w:val="007531DB"/>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772C0"/>
    <w:rsid w:val="00780BFD"/>
    <w:rsid w:val="0078177E"/>
    <w:rsid w:val="0078304C"/>
    <w:rsid w:val="00783673"/>
    <w:rsid w:val="00785490"/>
    <w:rsid w:val="00785E3A"/>
    <w:rsid w:val="00790F2A"/>
    <w:rsid w:val="007925EA"/>
    <w:rsid w:val="00793CD8"/>
    <w:rsid w:val="00794050"/>
    <w:rsid w:val="0079532B"/>
    <w:rsid w:val="00795C92"/>
    <w:rsid w:val="00796231"/>
    <w:rsid w:val="00796845"/>
    <w:rsid w:val="007A0412"/>
    <w:rsid w:val="007A068F"/>
    <w:rsid w:val="007A1B4C"/>
    <w:rsid w:val="007A1CB3"/>
    <w:rsid w:val="007A306F"/>
    <w:rsid w:val="007A36B6"/>
    <w:rsid w:val="007A37FC"/>
    <w:rsid w:val="007A43A6"/>
    <w:rsid w:val="007A58A6"/>
    <w:rsid w:val="007A5C47"/>
    <w:rsid w:val="007A7BDD"/>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DC6"/>
    <w:rsid w:val="007C3D18"/>
    <w:rsid w:val="007C60BF"/>
    <w:rsid w:val="007C6A07"/>
    <w:rsid w:val="007C75A1"/>
    <w:rsid w:val="007C77A5"/>
    <w:rsid w:val="007D04E5"/>
    <w:rsid w:val="007D311E"/>
    <w:rsid w:val="007D3F4F"/>
    <w:rsid w:val="007D5901"/>
    <w:rsid w:val="007D5F3D"/>
    <w:rsid w:val="007D6C67"/>
    <w:rsid w:val="007D7526"/>
    <w:rsid w:val="007E267C"/>
    <w:rsid w:val="007E2F81"/>
    <w:rsid w:val="007E3662"/>
    <w:rsid w:val="007E4610"/>
    <w:rsid w:val="007E4715"/>
    <w:rsid w:val="007E4B22"/>
    <w:rsid w:val="007E505B"/>
    <w:rsid w:val="007E6373"/>
    <w:rsid w:val="007E7091"/>
    <w:rsid w:val="007F3C98"/>
    <w:rsid w:val="007F6CC5"/>
    <w:rsid w:val="007F77D6"/>
    <w:rsid w:val="008015DF"/>
    <w:rsid w:val="008020FE"/>
    <w:rsid w:val="00803FAE"/>
    <w:rsid w:val="0080605F"/>
    <w:rsid w:val="00806C86"/>
    <w:rsid w:val="00806F4B"/>
    <w:rsid w:val="0080763E"/>
    <w:rsid w:val="00807786"/>
    <w:rsid w:val="008104DC"/>
    <w:rsid w:val="00810942"/>
    <w:rsid w:val="00810F0E"/>
    <w:rsid w:val="0081132E"/>
    <w:rsid w:val="00811FCB"/>
    <w:rsid w:val="0081252B"/>
    <w:rsid w:val="008141E0"/>
    <w:rsid w:val="00814E0B"/>
    <w:rsid w:val="008158D6"/>
    <w:rsid w:val="00815EBA"/>
    <w:rsid w:val="00816B4A"/>
    <w:rsid w:val="00817196"/>
    <w:rsid w:val="00817A4D"/>
    <w:rsid w:val="00817EDE"/>
    <w:rsid w:val="0082033E"/>
    <w:rsid w:val="00822E1B"/>
    <w:rsid w:val="008235DB"/>
    <w:rsid w:val="00824AB4"/>
    <w:rsid w:val="00824E9F"/>
    <w:rsid w:val="00825C42"/>
    <w:rsid w:val="00825D25"/>
    <w:rsid w:val="00826B2F"/>
    <w:rsid w:val="00827D6F"/>
    <w:rsid w:val="00827FDC"/>
    <w:rsid w:val="008300C8"/>
    <w:rsid w:val="008304CD"/>
    <w:rsid w:val="00831124"/>
    <w:rsid w:val="008335B1"/>
    <w:rsid w:val="00834972"/>
    <w:rsid w:val="00835DD6"/>
    <w:rsid w:val="008376AC"/>
    <w:rsid w:val="008417BB"/>
    <w:rsid w:val="00841B0A"/>
    <w:rsid w:val="0084221B"/>
    <w:rsid w:val="0084405D"/>
    <w:rsid w:val="008441EB"/>
    <w:rsid w:val="008444E8"/>
    <w:rsid w:val="00844E80"/>
    <w:rsid w:val="00846FE7"/>
    <w:rsid w:val="008470FD"/>
    <w:rsid w:val="00847733"/>
    <w:rsid w:val="00850CEC"/>
    <w:rsid w:val="00850E36"/>
    <w:rsid w:val="00850E45"/>
    <w:rsid w:val="00851C00"/>
    <w:rsid w:val="00855C9F"/>
    <w:rsid w:val="00856498"/>
    <w:rsid w:val="00856911"/>
    <w:rsid w:val="00856C5F"/>
    <w:rsid w:val="00856C7D"/>
    <w:rsid w:val="00863D18"/>
    <w:rsid w:val="00865647"/>
    <w:rsid w:val="0086574E"/>
    <w:rsid w:val="008677FD"/>
    <w:rsid w:val="00867B56"/>
    <w:rsid w:val="00870077"/>
    <w:rsid w:val="008706D4"/>
    <w:rsid w:val="0087079F"/>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28CA"/>
    <w:rsid w:val="008831AD"/>
    <w:rsid w:val="00883680"/>
    <w:rsid w:val="008850EF"/>
    <w:rsid w:val="00885820"/>
    <w:rsid w:val="00885CBE"/>
    <w:rsid w:val="0088638F"/>
    <w:rsid w:val="008868A1"/>
    <w:rsid w:val="00891466"/>
    <w:rsid w:val="00894154"/>
    <w:rsid w:val="00894A88"/>
    <w:rsid w:val="00895386"/>
    <w:rsid w:val="00896D3D"/>
    <w:rsid w:val="008A21FF"/>
    <w:rsid w:val="008A2CE2"/>
    <w:rsid w:val="008A30AC"/>
    <w:rsid w:val="008A3F81"/>
    <w:rsid w:val="008A41F4"/>
    <w:rsid w:val="008A44B8"/>
    <w:rsid w:val="008A4CE1"/>
    <w:rsid w:val="008A51A8"/>
    <w:rsid w:val="008A54C7"/>
    <w:rsid w:val="008A6B3F"/>
    <w:rsid w:val="008A77D8"/>
    <w:rsid w:val="008B0483"/>
    <w:rsid w:val="008B0C02"/>
    <w:rsid w:val="008B120C"/>
    <w:rsid w:val="008B2BCE"/>
    <w:rsid w:val="008B4B29"/>
    <w:rsid w:val="008B51A0"/>
    <w:rsid w:val="008B592A"/>
    <w:rsid w:val="008B675A"/>
    <w:rsid w:val="008B69D2"/>
    <w:rsid w:val="008B7B5C"/>
    <w:rsid w:val="008B7CC2"/>
    <w:rsid w:val="008C0281"/>
    <w:rsid w:val="008C0C99"/>
    <w:rsid w:val="008C112A"/>
    <w:rsid w:val="008C151C"/>
    <w:rsid w:val="008C2017"/>
    <w:rsid w:val="008C2398"/>
    <w:rsid w:val="008C2AAD"/>
    <w:rsid w:val="008C4958"/>
    <w:rsid w:val="008C49F0"/>
    <w:rsid w:val="008C4BAA"/>
    <w:rsid w:val="008C6AE8"/>
    <w:rsid w:val="008C741D"/>
    <w:rsid w:val="008C7573"/>
    <w:rsid w:val="008C7783"/>
    <w:rsid w:val="008D02F5"/>
    <w:rsid w:val="008D0DB1"/>
    <w:rsid w:val="008D2EB2"/>
    <w:rsid w:val="008D34F1"/>
    <w:rsid w:val="008D39D8"/>
    <w:rsid w:val="008D491D"/>
    <w:rsid w:val="008D52DC"/>
    <w:rsid w:val="008D560E"/>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0E50"/>
    <w:rsid w:val="00901439"/>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232E"/>
    <w:rsid w:val="009256BD"/>
    <w:rsid w:val="009265E0"/>
    <w:rsid w:val="00926FEF"/>
    <w:rsid w:val="00927E6D"/>
    <w:rsid w:val="00931AC1"/>
    <w:rsid w:val="00931BD9"/>
    <w:rsid w:val="00933E23"/>
    <w:rsid w:val="00935DB8"/>
    <w:rsid w:val="009368F3"/>
    <w:rsid w:val="00936A53"/>
    <w:rsid w:val="00936C07"/>
    <w:rsid w:val="009373EA"/>
    <w:rsid w:val="009403F9"/>
    <w:rsid w:val="00941636"/>
    <w:rsid w:val="009432E4"/>
    <w:rsid w:val="00943742"/>
    <w:rsid w:val="00944573"/>
    <w:rsid w:val="00945C05"/>
    <w:rsid w:val="00946945"/>
    <w:rsid w:val="00946CFD"/>
    <w:rsid w:val="00947713"/>
    <w:rsid w:val="00947D4D"/>
    <w:rsid w:val="0095011B"/>
    <w:rsid w:val="009502E7"/>
    <w:rsid w:val="009507EF"/>
    <w:rsid w:val="00950DE7"/>
    <w:rsid w:val="009522A6"/>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2CB1"/>
    <w:rsid w:val="00993272"/>
    <w:rsid w:val="0099366C"/>
    <w:rsid w:val="00993A69"/>
    <w:rsid w:val="00994DCA"/>
    <w:rsid w:val="009960EC"/>
    <w:rsid w:val="009970DD"/>
    <w:rsid w:val="009A0FBA"/>
    <w:rsid w:val="009A1601"/>
    <w:rsid w:val="009A1FBB"/>
    <w:rsid w:val="009A215F"/>
    <w:rsid w:val="009A462D"/>
    <w:rsid w:val="009A50FF"/>
    <w:rsid w:val="009A5CBA"/>
    <w:rsid w:val="009A7F84"/>
    <w:rsid w:val="009B196C"/>
    <w:rsid w:val="009B1F30"/>
    <w:rsid w:val="009B327D"/>
    <w:rsid w:val="009B3AC2"/>
    <w:rsid w:val="009B4DF4"/>
    <w:rsid w:val="009B4E12"/>
    <w:rsid w:val="009B5570"/>
    <w:rsid w:val="009B564E"/>
    <w:rsid w:val="009B5D3F"/>
    <w:rsid w:val="009B66CE"/>
    <w:rsid w:val="009B7E87"/>
    <w:rsid w:val="009C02B6"/>
    <w:rsid w:val="009C0F39"/>
    <w:rsid w:val="009C2378"/>
    <w:rsid w:val="009C2E37"/>
    <w:rsid w:val="009C33C1"/>
    <w:rsid w:val="009C403E"/>
    <w:rsid w:val="009C49EC"/>
    <w:rsid w:val="009C6F07"/>
    <w:rsid w:val="009C772C"/>
    <w:rsid w:val="009D27C9"/>
    <w:rsid w:val="009D32C1"/>
    <w:rsid w:val="009D4FF0"/>
    <w:rsid w:val="009D51B1"/>
    <w:rsid w:val="009D555B"/>
    <w:rsid w:val="009D703C"/>
    <w:rsid w:val="009D718F"/>
    <w:rsid w:val="009E068F"/>
    <w:rsid w:val="009E14E0"/>
    <w:rsid w:val="009E301B"/>
    <w:rsid w:val="009E357E"/>
    <w:rsid w:val="009E35DB"/>
    <w:rsid w:val="009E3C07"/>
    <w:rsid w:val="009E47A3"/>
    <w:rsid w:val="009E62C1"/>
    <w:rsid w:val="009F08F3"/>
    <w:rsid w:val="009F1D4F"/>
    <w:rsid w:val="009F1ECE"/>
    <w:rsid w:val="009F2A95"/>
    <w:rsid w:val="009F2D53"/>
    <w:rsid w:val="009F344F"/>
    <w:rsid w:val="009F438B"/>
    <w:rsid w:val="009F58B4"/>
    <w:rsid w:val="009F5DC6"/>
    <w:rsid w:val="009F67E8"/>
    <w:rsid w:val="00A0064F"/>
    <w:rsid w:val="00A00B32"/>
    <w:rsid w:val="00A01173"/>
    <w:rsid w:val="00A048A8"/>
    <w:rsid w:val="00A04F49"/>
    <w:rsid w:val="00A062B6"/>
    <w:rsid w:val="00A07372"/>
    <w:rsid w:val="00A13E54"/>
    <w:rsid w:val="00A15202"/>
    <w:rsid w:val="00A16ACA"/>
    <w:rsid w:val="00A17035"/>
    <w:rsid w:val="00A17F63"/>
    <w:rsid w:val="00A2193B"/>
    <w:rsid w:val="00A21A0C"/>
    <w:rsid w:val="00A226DB"/>
    <w:rsid w:val="00A233E7"/>
    <w:rsid w:val="00A2351A"/>
    <w:rsid w:val="00A264A9"/>
    <w:rsid w:val="00A26B42"/>
    <w:rsid w:val="00A26D81"/>
    <w:rsid w:val="00A27785"/>
    <w:rsid w:val="00A30187"/>
    <w:rsid w:val="00A33550"/>
    <w:rsid w:val="00A3448A"/>
    <w:rsid w:val="00A34EB7"/>
    <w:rsid w:val="00A36185"/>
    <w:rsid w:val="00A36297"/>
    <w:rsid w:val="00A40104"/>
    <w:rsid w:val="00A40236"/>
    <w:rsid w:val="00A4107B"/>
    <w:rsid w:val="00A41E2B"/>
    <w:rsid w:val="00A43311"/>
    <w:rsid w:val="00A452F0"/>
    <w:rsid w:val="00A45B74"/>
    <w:rsid w:val="00A471C3"/>
    <w:rsid w:val="00A51466"/>
    <w:rsid w:val="00A51568"/>
    <w:rsid w:val="00A5264C"/>
    <w:rsid w:val="00A52E1D"/>
    <w:rsid w:val="00A53B7A"/>
    <w:rsid w:val="00A56DC2"/>
    <w:rsid w:val="00A61499"/>
    <w:rsid w:val="00A626D1"/>
    <w:rsid w:val="00A62A77"/>
    <w:rsid w:val="00A62ECE"/>
    <w:rsid w:val="00A63483"/>
    <w:rsid w:val="00A6363A"/>
    <w:rsid w:val="00A64C44"/>
    <w:rsid w:val="00A657D7"/>
    <w:rsid w:val="00A65B19"/>
    <w:rsid w:val="00A660AC"/>
    <w:rsid w:val="00A67E6C"/>
    <w:rsid w:val="00A706FC"/>
    <w:rsid w:val="00A70939"/>
    <w:rsid w:val="00A70A54"/>
    <w:rsid w:val="00A70B64"/>
    <w:rsid w:val="00A71B99"/>
    <w:rsid w:val="00A71C29"/>
    <w:rsid w:val="00A7262D"/>
    <w:rsid w:val="00A72BC9"/>
    <w:rsid w:val="00A739D0"/>
    <w:rsid w:val="00A73EA4"/>
    <w:rsid w:val="00A75BED"/>
    <w:rsid w:val="00A761D4"/>
    <w:rsid w:val="00A764CE"/>
    <w:rsid w:val="00A7763F"/>
    <w:rsid w:val="00A77BEA"/>
    <w:rsid w:val="00A77EC4"/>
    <w:rsid w:val="00A80441"/>
    <w:rsid w:val="00A81686"/>
    <w:rsid w:val="00A83E38"/>
    <w:rsid w:val="00A87FA7"/>
    <w:rsid w:val="00A9131A"/>
    <w:rsid w:val="00A916C9"/>
    <w:rsid w:val="00A91C62"/>
    <w:rsid w:val="00A92879"/>
    <w:rsid w:val="00A92908"/>
    <w:rsid w:val="00A92C5F"/>
    <w:rsid w:val="00A92C7A"/>
    <w:rsid w:val="00A94311"/>
    <w:rsid w:val="00A9442A"/>
    <w:rsid w:val="00A94666"/>
    <w:rsid w:val="00A966F4"/>
    <w:rsid w:val="00A97225"/>
    <w:rsid w:val="00A9785E"/>
    <w:rsid w:val="00A97C6F"/>
    <w:rsid w:val="00AA016F"/>
    <w:rsid w:val="00AA1ED6"/>
    <w:rsid w:val="00AA21EC"/>
    <w:rsid w:val="00AA23D1"/>
    <w:rsid w:val="00AA260C"/>
    <w:rsid w:val="00AA4279"/>
    <w:rsid w:val="00AA4D0D"/>
    <w:rsid w:val="00AA51D6"/>
    <w:rsid w:val="00AA5EF5"/>
    <w:rsid w:val="00AA63BA"/>
    <w:rsid w:val="00AA6A03"/>
    <w:rsid w:val="00AB0128"/>
    <w:rsid w:val="00AB017F"/>
    <w:rsid w:val="00AB0BC8"/>
    <w:rsid w:val="00AB10DA"/>
    <w:rsid w:val="00AB11CA"/>
    <w:rsid w:val="00AB14D9"/>
    <w:rsid w:val="00AB1841"/>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6B62"/>
    <w:rsid w:val="00AC7CC0"/>
    <w:rsid w:val="00AD0182"/>
    <w:rsid w:val="00AD0AA3"/>
    <w:rsid w:val="00AD1952"/>
    <w:rsid w:val="00AD30C5"/>
    <w:rsid w:val="00AD3F94"/>
    <w:rsid w:val="00AD4A5A"/>
    <w:rsid w:val="00AD6192"/>
    <w:rsid w:val="00AD67FE"/>
    <w:rsid w:val="00AE27AC"/>
    <w:rsid w:val="00AE40E0"/>
    <w:rsid w:val="00AE4DBA"/>
    <w:rsid w:val="00AE4F07"/>
    <w:rsid w:val="00AE79A3"/>
    <w:rsid w:val="00AE7F5A"/>
    <w:rsid w:val="00AF0BFA"/>
    <w:rsid w:val="00AF13F7"/>
    <w:rsid w:val="00AF1C5D"/>
    <w:rsid w:val="00AF3B94"/>
    <w:rsid w:val="00AF42D7"/>
    <w:rsid w:val="00AF4961"/>
    <w:rsid w:val="00AF5F1D"/>
    <w:rsid w:val="00AF683E"/>
    <w:rsid w:val="00AF6C00"/>
    <w:rsid w:val="00AF6F2F"/>
    <w:rsid w:val="00B006FE"/>
    <w:rsid w:val="00B007CB"/>
    <w:rsid w:val="00B01B96"/>
    <w:rsid w:val="00B01DC9"/>
    <w:rsid w:val="00B02AA9"/>
    <w:rsid w:val="00B02F74"/>
    <w:rsid w:val="00B02F9A"/>
    <w:rsid w:val="00B02FA3"/>
    <w:rsid w:val="00B04A4C"/>
    <w:rsid w:val="00B05084"/>
    <w:rsid w:val="00B0524F"/>
    <w:rsid w:val="00B055D7"/>
    <w:rsid w:val="00B05A6F"/>
    <w:rsid w:val="00B06F12"/>
    <w:rsid w:val="00B06F21"/>
    <w:rsid w:val="00B07938"/>
    <w:rsid w:val="00B114CE"/>
    <w:rsid w:val="00B12DE1"/>
    <w:rsid w:val="00B14F34"/>
    <w:rsid w:val="00B156EB"/>
    <w:rsid w:val="00B157F9"/>
    <w:rsid w:val="00B167F1"/>
    <w:rsid w:val="00B20256"/>
    <w:rsid w:val="00B20D09"/>
    <w:rsid w:val="00B21786"/>
    <w:rsid w:val="00B22C9D"/>
    <w:rsid w:val="00B23437"/>
    <w:rsid w:val="00B2763F"/>
    <w:rsid w:val="00B27AAC"/>
    <w:rsid w:val="00B301E9"/>
    <w:rsid w:val="00B30929"/>
    <w:rsid w:val="00B313FC"/>
    <w:rsid w:val="00B369AD"/>
    <w:rsid w:val="00B37066"/>
    <w:rsid w:val="00B372AA"/>
    <w:rsid w:val="00B37B2C"/>
    <w:rsid w:val="00B40445"/>
    <w:rsid w:val="00B41814"/>
    <w:rsid w:val="00B41888"/>
    <w:rsid w:val="00B42BDB"/>
    <w:rsid w:val="00B4347B"/>
    <w:rsid w:val="00B44AA1"/>
    <w:rsid w:val="00B45A52"/>
    <w:rsid w:val="00B46175"/>
    <w:rsid w:val="00B46AD9"/>
    <w:rsid w:val="00B500E0"/>
    <w:rsid w:val="00B5058B"/>
    <w:rsid w:val="00B51BBD"/>
    <w:rsid w:val="00B56079"/>
    <w:rsid w:val="00B56296"/>
    <w:rsid w:val="00B5681C"/>
    <w:rsid w:val="00B6033E"/>
    <w:rsid w:val="00B60D56"/>
    <w:rsid w:val="00B617E6"/>
    <w:rsid w:val="00B6180A"/>
    <w:rsid w:val="00B61C37"/>
    <w:rsid w:val="00B61FC9"/>
    <w:rsid w:val="00B626FC"/>
    <w:rsid w:val="00B62AAA"/>
    <w:rsid w:val="00B62DC3"/>
    <w:rsid w:val="00B6374A"/>
    <w:rsid w:val="00B63DA3"/>
    <w:rsid w:val="00B6428A"/>
    <w:rsid w:val="00B655C6"/>
    <w:rsid w:val="00B65788"/>
    <w:rsid w:val="00B664C7"/>
    <w:rsid w:val="00B71B58"/>
    <w:rsid w:val="00B739F6"/>
    <w:rsid w:val="00B779B9"/>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6440"/>
    <w:rsid w:val="00BA76E0"/>
    <w:rsid w:val="00BB0186"/>
    <w:rsid w:val="00BB212F"/>
    <w:rsid w:val="00BB2A25"/>
    <w:rsid w:val="00BB2CD1"/>
    <w:rsid w:val="00BB411F"/>
    <w:rsid w:val="00BB51E9"/>
    <w:rsid w:val="00BB56BD"/>
    <w:rsid w:val="00BB78D4"/>
    <w:rsid w:val="00BC0FDC"/>
    <w:rsid w:val="00BC1809"/>
    <w:rsid w:val="00BC2238"/>
    <w:rsid w:val="00BC2D80"/>
    <w:rsid w:val="00BC3053"/>
    <w:rsid w:val="00BC4D2E"/>
    <w:rsid w:val="00BC642C"/>
    <w:rsid w:val="00BC6A51"/>
    <w:rsid w:val="00BC6E25"/>
    <w:rsid w:val="00BD08B5"/>
    <w:rsid w:val="00BD3C61"/>
    <w:rsid w:val="00BD46A8"/>
    <w:rsid w:val="00BD48AC"/>
    <w:rsid w:val="00BD5146"/>
    <w:rsid w:val="00BD5F1A"/>
    <w:rsid w:val="00BE1234"/>
    <w:rsid w:val="00BE2FA6"/>
    <w:rsid w:val="00BE333F"/>
    <w:rsid w:val="00BE4F7A"/>
    <w:rsid w:val="00BE7406"/>
    <w:rsid w:val="00BE741C"/>
    <w:rsid w:val="00BE7603"/>
    <w:rsid w:val="00BF3279"/>
    <w:rsid w:val="00BF5CD2"/>
    <w:rsid w:val="00BF617A"/>
    <w:rsid w:val="00BF6704"/>
    <w:rsid w:val="00BF6E71"/>
    <w:rsid w:val="00BF74C7"/>
    <w:rsid w:val="00C00C28"/>
    <w:rsid w:val="00C010A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124"/>
    <w:rsid w:val="00C154BB"/>
    <w:rsid w:val="00C15B66"/>
    <w:rsid w:val="00C17F90"/>
    <w:rsid w:val="00C210BC"/>
    <w:rsid w:val="00C21C9E"/>
    <w:rsid w:val="00C235EF"/>
    <w:rsid w:val="00C237F8"/>
    <w:rsid w:val="00C25246"/>
    <w:rsid w:val="00C26FAA"/>
    <w:rsid w:val="00C279B5"/>
    <w:rsid w:val="00C27C45"/>
    <w:rsid w:val="00C320FB"/>
    <w:rsid w:val="00C32657"/>
    <w:rsid w:val="00C33F4B"/>
    <w:rsid w:val="00C3719D"/>
    <w:rsid w:val="00C37CC3"/>
    <w:rsid w:val="00C4067E"/>
    <w:rsid w:val="00C41F6C"/>
    <w:rsid w:val="00C42BAB"/>
    <w:rsid w:val="00C46217"/>
    <w:rsid w:val="00C46A82"/>
    <w:rsid w:val="00C4742E"/>
    <w:rsid w:val="00C50794"/>
    <w:rsid w:val="00C51FCF"/>
    <w:rsid w:val="00C52115"/>
    <w:rsid w:val="00C52454"/>
    <w:rsid w:val="00C54995"/>
    <w:rsid w:val="00C54D41"/>
    <w:rsid w:val="00C55921"/>
    <w:rsid w:val="00C55F6F"/>
    <w:rsid w:val="00C561AF"/>
    <w:rsid w:val="00C57605"/>
    <w:rsid w:val="00C6006D"/>
    <w:rsid w:val="00C6067F"/>
    <w:rsid w:val="00C60783"/>
    <w:rsid w:val="00C63695"/>
    <w:rsid w:val="00C64672"/>
    <w:rsid w:val="00C64E8D"/>
    <w:rsid w:val="00C70697"/>
    <w:rsid w:val="00C72EF4"/>
    <w:rsid w:val="00C73E8B"/>
    <w:rsid w:val="00C743F0"/>
    <w:rsid w:val="00C75D2F"/>
    <w:rsid w:val="00C763D9"/>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A0590"/>
    <w:rsid w:val="00CA12D1"/>
    <w:rsid w:val="00CA1ED8"/>
    <w:rsid w:val="00CA2A24"/>
    <w:rsid w:val="00CA31A3"/>
    <w:rsid w:val="00CA3D41"/>
    <w:rsid w:val="00CA46A8"/>
    <w:rsid w:val="00CA680B"/>
    <w:rsid w:val="00CB0346"/>
    <w:rsid w:val="00CB0F60"/>
    <w:rsid w:val="00CB1678"/>
    <w:rsid w:val="00CB1F63"/>
    <w:rsid w:val="00CB1FB1"/>
    <w:rsid w:val="00CB3119"/>
    <w:rsid w:val="00CB619A"/>
    <w:rsid w:val="00CB7170"/>
    <w:rsid w:val="00CC0405"/>
    <w:rsid w:val="00CC040E"/>
    <w:rsid w:val="00CC111F"/>
    <w:rsid w:val="00CC14CB"/>
    <w:rsid w:val="00CC2011"/>
    <w:rsid w:val="00CC3EA0"/>
    <w:rsid w:val="00CC5E23"/>
    <w:rsid w:val="00CC7B45"/>
    <w:rsid w:val="00CD1188"/>
    <w:rsid w:val="00CD2ED1"/>
    <w:rsid w:val="00CD337B"/>
    <w:rsid w:val="00CD7DDB"/>
    <w:rsid w:val="00CE0424"/>
    <w:rsid w:val="00CE3D56"/>
    <w:rsid w:val="00CE5AF6"/>
    <w:rsid w:val="00CE7561"/>
    <w:rsid w:val="00CF02AC"/>
    <w:rsid w:val="00CF1354"/>
    <w:rsid w:val="00CF3960"/>
    <w:rsid w:val="00CF3B1F"/>
    <w:rsid w:val="00CF3B71"/>
    <w:rsid w:val="00CF3BF6"/>
    <w:rsid w:val="00CF57A6"/>
    <w:rsid w:val="00CF625B"/>
    <w:rsid w:val="00CF638D"/>
    <w:rsid w:val="00CF687E"/>
    <w:rsid w:val="00CF6B7A"/>
    <w:rsid w:val="00D013EF"/>
    <w:rsid w:val="00D0204A"/>
    <w:rsid w:val="00D0349B"/>
    <w:rsid w:val="00D04434"/>
    <w:rsid w:val="00D0571A"/>
    <w:rsid w:val="00D06151"/>
    <w:rsid w:val="00D06267"/>
    <w:rsid w:val="00D06E09"/>
    <w:rsid w:val="00D078C1"/>
    <w:rsid w:val="00D10249"/>
    <w:rsid w:val="00D10409"/>
    <w:rsid w:val="00D10F00"/>
    <w:rsid w:val="00D115C3"/>
    <w:rsid w:val="00D11897"/>
    <w:rsid w:val="00D13135"/>
    <w:rsid w:val="00D1344F"/>
    <w:rsid w:val="00D13E4E"/>
    <w:rsid w:val="00D153AA"/>
    <w:rsid w:val="00D17248"/>
    <w:rsid w:val="00D17DC7"/>
    <w:rsid w:val="00D2264C"/>
    <w:rsid w:val="00D239A7"/>
    <w:rsid w:val="00D23F47"/>
    <w:rsid w:val="00D241AA"/>
    <w:rsid w:val="00D267ED"/>
    <w:rsid w:val="00D26C4E"/>
    <w:rsid w:val="00D2769A"/>
    <w:rsid w:val="00D3005B"/>
    <w:rsid w:val="00D317F1"/>
    <w:rsid w:val="00D31E35"/>
    <w:rsid w:val="00D325EA"/>
    <w:rsid w:val="00D36E71"/>
    <w:rsid w:val="00D37D87"/>
    <w:rsid w:val="00D37E1B"/>
    <w:rsid w:val="00D40B33"/>
    <w:rsid w:val="00D41222"/>
    <w:rsid w:val="00D41BDF"/>
    <w:rsid w:val="00D4318F"/>
    <w:rsid w:val="00D438BF"/>
    <w:rsid w:val="00D43F5A"/>
    <w:rsid w:val="00D440F8"/>
    <w:rsid w:val="00D44DDF"/>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708B0"/>
    <w:rsid w:val="00D70E73"/>
    <w:rsid w:val="00D7135D"/>
    <w:rsid w:val="00D75627"/>
    <w:rsid w:val="00D763CD"/>
    <w:rsid w:val="00D76401"/>
    <w:rsid w:val="00D7726A"/>
    <w:rsid w:val="00D77B1D"/>
    <w:rsid w:val="00D77E1B"/>
    <w:rsid w:val="00D8021F"/>
    <w:rsid w:val="00D80361"/>
    <w:rsid w:val="00D80383"/>
    <w:rsid w:val="00D817B0"/>
    <w:rsid w:val="00D823C6"/>
    <w:rsid w:val="00D83349"/>
    <w:rsid w:val="00D836A1"/>
    <w:rsid w:val="00D84DDC"/>
    <w:rsid w:val="00D86C86"/>
    <w:rsid w:val="00D86CA3"/>
    <w:rsid w:val="00D871CE"/>
    <w:rsid w:val="00D87238"/>
    <w:rsid w:val="00D878F0"/>
    <w:rsid w:val="00D90781"/>
    <w:rsid w:val="00D91055"/>
    <w:rsid w:val="00D9196D"/>
    <w:rsid w:val="00D92982"/>
    <w:rsid w:val="00D97084"/>
    <w:rsid w:val="00DA01B6"/>
    <w:rsid w:val="00DA1349"/>
    <w:rsid w:val="00DA305E"/>
    <w:rsid w:val="00DA416C"/>
    <w:rsid w:val="00DA5007"/>
    <w:rsid w:val="00DA5417"/>
    <w:rsid w:val="00DA56E8"/>
    <w:rsid w:val="00DA6A0A"/>
    <w:rsid w:val="00DA6CA1"/>
    <w:rsid w:val="00DB00F8"/>
    <w:rsid w:val="00DB0A9F"/>
    <w:rsid w:val="00DB377D"/>
    <w:rsid w:val="00DB5719"/>
    <w:rsid w:val="00DB6768"/>
    <w:rsid w:val="00DB72C9"/>
    <w:rsid w:val="00DC05D9"/>
    <w:rsid w:val="00DC1887"/>
    <w:rsid w:val="00DC25CF"/>
    <w:rsid w:val="00DC2D36"/>
    <w:rsid w:val="00DC4F17"/>
    <w:rsid w:val="00DC53EF"/>
    <w:rsid w:val="00DD2697"/>
    <w:rsid w:val="00DD513E"/>
    <w:rsid w:val="00DD6DA7"/>
    <w:rsid w:val="00DD729E"/>
    <w:rsid w:val="00DD740E"/>
    <w:rsid w:val="00DE2D93"/>
    <w:rsid w:val="00DE3EB9"/>
    <w:rsid w:val="00DE4E2C"/>
    <w:rsid w:val="00DE5608"/>
    <w:rsid w:val="00DE58D0"/>
    <w:rsid w:val="00DE654F"/>
    <w:rsid w:val="00DF02B2"/>
    <w:rsid w:val="00DF0B6E"/>
    <w:rsid w:val="00DF15E0"/>
    <w:rsid w:val="00DF1C34"/>
    <w:rsid w:val="00DF306A"/>
    <w:rsid w:val="00DF37A0"/>
    <w:rsid w:val="00DF5C56"/>
    <w:rsid w:val="00DF794F"/>
    <w:rsid w:val="00E002D7"/>
    <w:rsid w:val="00E02B90"/>
    <w:rsid w:val="00E05527"/>
    <w:rsid w:val="00E05CDC"/>
    <w:rsid w:val="00E05EBD"/>
    <w:rsid w:val="00E06AD9"/>
    <w:rsid w:val="00E06D11"/>
    <w:rsid w:val="00E110E7"/>
    <w:rsid w:val="00E11B20"/>
    <w:rsid w:val="00E138EA"/>
    <w:rsid w:val="00E14575"/>
    <w:rsid w:val="00E1577B"/>
    <w:rsid w:val="00E16446"/>
    <w:rsid w:val="00E17FA2"/>
    <w:rsid w:val="00E20983"/>
    <w:rsid w:val="00E222A7"/>
    <w:rsid w:val="00E22330"/>
    <w:rsid w:val="00E23A72"/>
    <w:rsid w:val="00E25089"/>
    <w:rsid w:val="00E2601C"/>
    <w:rsid w:val="00E2609B"/>
    <w:rsid w:val="00E266E2"/>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32A"/>
    <w:rsid w:val="00E44362"/>
    <w:rsid w:val="00E446F1"/>
    <w:rsid w:val="00E46091"/>
    <w:rsid w:val="00E46886"/>
    <w:rsid w:val="00E47AEF"/>
    <w:rsid w:val="00E50DED"/>
    <w:rsid w:val="00E518D7"/>
    <w:rsid w:val="00E53B75"/>
    <w:rsid w:val="00E54E3B"/>
    <w:rsid w:val="00E5509A"/>
    <w:rsid w:val="00E57565"/>
    <w:rsid w:val="00E625EE"/>
    <w:rsid w:val="00E62F35"/>
    <w:rsid w:val="00E63803"/>
    <w:rsid w:val="00E63838"/>
    <w:rsid w:val="00E64434"/>
    <w:rsid w:val="00E64738"/>
    <w:rsid w:val="00E64F46"/>
    <w:rsid w:val="00E67C51"/>
    <w:rsid w:val="00E7128A"/>
    <w:rsid w:val="00E71DF6"/>
    <w:rsid w:val="00E72B2A"/>
    <w:rsid w:val="00E72EFC"/>
    <w:rsid w:val="00E72F52"/>
    <w:rsid w:val="00E7408C"/>
    <w:rsid w:val="00E758EC"/>
    <w:rsid w:val="00E76259"/>
    <w:rsid w:val="00E76671"/>
    <w:rsid w:val="00E774DB"/>
    <w:rsid w:val="00E77B79"/>
    <w:rsid w:val="00E8007A"/>
    <w:rsid w:val="00E81C95"/>
    <w:rsid w:val="00E8233A"/>
    <w:rsid w:val="00E8234C"/>
    <w:rsid w:val="00E82D25"/>
    <w:rsid w:val="00E8385E"/>
    <w:rsid w:val="00E83AA9"/>
    <w:rsid w:val="00E83E56"/>
    <w:rsid w:val="00E85928"/>
    <w:rsid w:val="00E860AE"/>
    <w:rsid w:val="00E86223"/>
    <w:rsid w:val="00E87822"/>
    <w:rsid w:val="00E90395"/>
    <w:rsid w:val="00E90531"/>
    <w:rsid w:val="00E90E49"/>
    <w:rsid w:val="00E916DA"/>
    <w:rsid w:val="00E917F9"/>
    <w:rsid w:val="00E92068"/>
    <w:rsid w:val="00E9291C"/>
    <w:rsid w:val="00E93FFE"/>
    <w:rsid w:val="00E9417B"/>
    <w:rsid w:val="00E94F8A"/>
    <w:rsid w:val="00E96A90"/>
    <w:rsid w:val="00E96F47"/>
    <w:rsid w:val="00E971BF"/>
    <w:rsid w:val="00E97A81"/>
    <w:rsid w:val="00EA145C"/>
    <w:rsid w:val="00EA7A41"/>
    <w:rsid w:val="00EB05A0"/>
    <w:rsid w:val="00EB077B"/>
    <w:rsid w:val="00EB2190"/>
    <w:rsid w:val="00EB48BF"/>
    <w:rsid w:val="00EB4EA2"/>
    <w:rsid w:val="00EB6346"/>
    <w:rsid w:val="00EB7AC8"/>
    <w:rsid w:val="00EC1933"/>
    <w:rsid w:val="00EC27C6"/>
    <w:rsid w:val="00EC4207"/>
    <w:rsid w:val="00EC5653"/>
    <w:rsid w:val="00EC5CEF"/>
    <w:rsid w:val="00EC5D1F"/>
    <w:rsid w:val="00EC60B5"/>
    <w:rsid w:val="00EC6A49"/>
    <w:rsid w:val="00EC71CE"/>
    <w:rsid w:val="00ED1006"/>
    <w:rsid w:val="00ED1AA4"/>
    <w:rsid w:val="00ED3F0F"/>
    <w:rsid w:val="00ED6433"/>
    <w:rsid w:val="00ED75CD"/>
    <w:rsid w:val="00EE1309"/>
    <w:rsid w:val="00EE1A3D"/>
    <w:rsid w:val="00EE1E64"/>
    <w:rsid w:val="00EE7F85"/>
    <w:rsid w:val="00EF08AA"/>
    <w:rsid w:val="00EF18FE"/>
    <w:rsid w:val="00EF38E9"/>
    <w:rsid w:val="00EF4615"/>
    <w:rsid w:val="00EF4DCB"/>
    <w:rsid w:val="00EF5787"/>
    <w:rsid w:val="00EF60D0"/>
    <w:rsid w:val="00EF682C"/>
    <w:rsid w:val="00F0528D"/>
    <w:rsid w:val="00F06C67"/>
    <w:rsid w:val="00F06DFD"/>
    <w:rsid w:val="00F071D1"/>
    <w:rsid w:val="00F07406"/>
    <w:rsid w:val="00F07533"/>
    <w:rsid w:val="00F07CE0"/>
    <w:rsid w:val="00F10629"/>
    <w:rsid w:val="00F11290"/>
    <w:rsid w:val="00F13B91"/>
    <w:rsid w:val="00F15D2C"/>
    <w:rsid w:val="00F15FA5"/>
    <w:rsid w:val="00F1654E"/>
    <w:rsid w:val="00F16833"/>
    <w:rsid w:val="00F17545"/>
    <w:rsid w:val="00F17A46"/>
    <w:rsid w:val="00F209B7"/>
    <w:rsid w:val="00F23500"/>
    <w:rsid w:val="00F2376F"/>
    <w:rsid w:val="00F243D8"/>
    <w:rsid w:val="00F27528"/>
    <w:rsid w:val="00F27A64"/>
    <w:rsid w:val="00F301AC"/>
    <w:rsid w:val="00F30828"/>
    <w:rsid w:val="00F30B12"/>
    <w:rsid w:val="00F312EF"/>
    <w:rsid w:val="00F313D6"/>
    <w:rsid w:val="00F316AA"/>
    <w:rsid w:val="00F33F93"/>
    <w:rsid w:val="00F34438"/>
    <w:rsid w:val="00F40F0C"/>
    <w:rsid w:val="00F410A5"/>
    <w:rsid w:val="00F410E6"/>
    <w:rsid w:val="00F41518"/>
    <w:rsid w:val="00F42123"/>
    <w:rsid w:val="00F42A54"/>
    <w:rsid w:val="00F452A8"/>
    <w:rsid w:val="00F47362"/>
    <w:rsid w:val="00F4766C"/>
    <w:rsid w:val="00F47B2F"/>
    <w:rsid w:val="00F507D1"/>
    <w:rsid w:val="00F519CE"/>
    <w:rsid w:val="00F51ADA"/>
    <w:rsid w:val="00F51EC2"/>
    <w:rsid w:val="00F53AF3"/>
    <w:rsid w:val="00F56B53"/>
    <w:rsid w:val="00F56B95"/>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5ECC"/>
    <w:rsid w:val="00F76EFA"/>
    <w:rsid w:val="00F804BE"/>
    <w:rsid w:val="00F80B50"/>
    <w:rsid w:val="00F817CE"/>
    <w:rsid w:val="00F81D16"/>
    <w:rsid w:val="00F82200"/>
    <w:rsid w:val="00F840CC"/>
    <w:rsid w:val="00F8452F"/>
    <w:rsid w:val="00F8456C"/>
    <w:rsid w:val="00F85133"/>
    <w:rsid w:val="00F859D8"/>
    <w:rsid w:val="00F85FC2"/>
    <w:rsid w:val="00F865BB"/>
    <w:rsid w:val="00F868F5"/>
    <w:rsid w:val="00F90089"/>
    <w:rsid w:val="00F9056A"/>
    <w:rsid w:val="00F90F8D"/>
    <w:rsid w:val="00F90F95"/>
    <w:rsid w:val="00F91B41"/>
    <w:rsid w:val="00F9242E"/>
    <w:rsid w:val="00F92782"/>
    <w:rsid w:val="00F92914"/>
    <w:rsid w:val="00F93AA9"/>
    <w:rsid w:val="00F94511"/>
    <w:rsid w:val="00F94B97"/>
    <w:rsid w:val="00F96966"/>
    <w:rsid w:val="00F96985"/>
    <w:rsid w:val="00F97838"/>
    <w:rsid w:val="00F97C4E"/>
    <w:rsid w:val="00FA12D2"/>
    <w:rsid w:val="00FA2AD3"/>
    <w:rsid w:val="00FA2BB3"/>
    <w:rsid w:val="00FA3142"/>
    <w:rsid w:val="00FA31FB"/>
    <w:rsid w:val="00FA32BF"/>
    <w:rsid w:val="00FA5319"/>
    <w:rsid w:val="00FA5B0B"/>
    <w:rsid w:val="00FB0663"/>
    <w:rsid w:val="00FB0F8B"/>
    <w:rsid w:val="00FB19A1"/>
    <w:rsid w:val="00FB455B"/>
    <w:rsid w:val="00FB46B7"/>
    <w:rsid w:val="00FB4C80"/>
    <w:rsid w:val="00FB65DA"/>
    <w:rsid w:val="00FB6A6A"/>
    <w:rsid w:val="00FB6F61"/>
    <w:rsid w:val="00FC02F4"/>
    <w:rsid w:val="00FC0873"/>
    <w:rsid w:val="00FC0A5B"/>
    <w:rsid w:val="00FC129A"/>
    <w:rsid w:val="00FC4AD0"/>
    <w:rsid w:val="00FC5665"/>
    <w:rsid w:val="00FC7100"/>
    <w:rsid w:val="00FC7313"/>
    <w:rsid w:val="00FC7429"/>
    <w:rsid w:val="00FD07F6"/>
    <w:rsid w:val="00FD0BFF"/>
    <w:rsid w:val="00FD1EC8"/>
    <w:rsid w:val="00FD3FB3"/>
    <w:rsid w:val="00FD47ED"/>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5NUHHDQN7SK2-1476151046-22837</_dlc_DocId>
    <_dlc_DocIdUrl xmlns="f166a696-7b5b-4ccd-9f0c-ffde0cceec81">
      <Url>https://ericsson.sharepoint.com/sites/star/_layouts/15/DocIdRedir.aspx?ID=5NUHHDQN7SK2-1476151046-22837</Url>
      <Description>5NUHHDQN7SK2-1476151046-22837</Description>
    </_dlc_DocIdUrl>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2BFE078C-CF81-4F91-B421-189457FE3C74}">
  <ds:schemaRefs>
    <ds:schemaRef ds:uri="http://schemas.microsoft.com/sharepoint/events"/>
  </ds:schemaRefs>
</ds:datastoreItem>
</file>

<file path=customXml/itemProps3.xml><?xml version="1.0" encoding="utf-8"?>
<ds:datastoreItem xmlns:ds="http://schemas.openxmlformats.org/officeDocument/2006/customXml" ds:itemID="{5A61D7D7-6A4A-4CA1-881E-CC94B028719B}">
  <ds:schemaRefs>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schemas.microsoft.com/sharepoint/v4"/>
    <ds:schemaRef ds:uri="http://schemas.microsoft.com/office/2006/metadata/properties"/>
    <ds:schemaRef ds:uri="f166a696-7b5b-4ccd-9f0c-ffde0cceec81"/>
    <ds:schemaRef ds:uri="http://purl.org/dc/dcmitype/"/>
    <ds:schemaRef ds:uri="d8762117-8292-4133-b1c7-eab5c6487cfd"/>
    <ds:schemaRef ds:uri="611109f9-ed58-4498-a270-1fb2086a5321"/>
    <ds:schemaRef ds:uri="http://www.w3.org/XML/1998/namespace"/>
  </ds:schemaRefs>
</ds:datastoreItem>
</file>

<file path=customXml/itemProps4.xml><?xml version="1.0" encoding="utf-8"?>
<ds:datastoreItem xmlns:ds="http://schemas.openxmlformats.org/officeDocument/2006/customXml" ds:itemID="{FB8CC96F-9D03-47C6-ABAC-73FCD7BD3379}">
  <ds:schemaRefs>
    <ds:schemaRef ds:uri="Microsoft.SharePoint.Taxonomy.ContentTypeSync"/>
  </ds:schemaRefs>
</ds:datastoreItem>
</file>

<file path=customXml/itemProps5.xml><?xml version="1.0" encoding="utf-8"?>
<ds:datastoreItem xmlns:ds="http://schemas.openxmlformats.org/officeDocument/2006/customXml" ds:itemID="{ED4C748B-8038-453D-8F4D-87BE1AEA8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C7F5CE-3BFE-40D6-A9DD-383A70BB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13</TotalTime>
  <Pages>8</Pages>
  <Words>2041</Words>
  <Characters>9771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8</cp:revision>
  <cp:lastPrinted>2018-02-15T17:43:00Z</cp:lastPrinted>
  <dcterms:created xsi:type="dcterms:W3CDTF">2018-04-05T16:48:00Z</dcterms:created>
  <dcterms:modified xsi:type="dcterms:W3CDTF">2018-05-10T16:30:00Z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09953ef8-9e89-4239-a299-15c7aa15e766</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